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44D28" w14:textId="524A64FF" w:rsidR="00906AB0" w:rsidRPr="00C606BB" w:rsidRDefault="00CD103A">
      <w:pPr>
        <w:pStyle w:val="Title"/>
        <w:rPr>
          <w:rFonts w:ascii="Arial" w:hAnsi="Arial" w:cs="Arial"/>
          <w:b/>
          <w:bCs/>
          <w:sz w:val="36"/>
          <w:szCs w:val="36"/>
          <w:lang w:val="cs-CZ"/>
        </w:rPr>
      </w:pPr>
      <w:r w:rsidRPr="00C606BB">
        <w:rPr>
          <w:rFonts w:ascii="Arial" w:hAnsi="Arial" w:cs="Arial"/>
          <w:b/>
          <w:bCs/>
          <w:sz w:val="36"/>
          <w:szCs w:val="36"/>
          <w:lang w:val="cs-CZ"/>
        </w:rPr>
        <w:t xml:space="preserve">Mezinárodní report </w:t>
      </w:r>
      <w:r w:rsidR="00502DFA" w:rsidRPr="00C606BB">
        <w:rPr>
          <w:rFonts w:ascii="Arial" w:hAnsi="Arial" w:cs="Arial"/>
          <w:b/>
          <w:bCs/>
          <w:sz w:val="36"/>
          <w:szCs w:val="36"/>
          <w:lang w:val="cs-CZ"/>
        </w:rPr>
        <w:t xml:space="preserve">vydaný </w:t>
      </w:r>
      <w:r w:rsidRPr="00C606BB">
        <w:rPr>
          <w:rFonts w:ascii="Arial" w:hAnsi="Arial" w:cs="Arial"/>
          <w:b/>
          <w:bCs/>
          <w:sz w:val="36"/>
          <w:szCs w:val="36"/>
          <w:lang w:val="cs-CZ"/>
        </w:rPr>
        <w:t xml:space="preserve">WHO </w:t>
      </w:r>
      <w:r w:rsidR="005E0A0C" w:rsidRPr="00C606BB">
        <w:rPr>
          <w:rFonts w:ascii="Arial" w:hAnsi="Arial" w:cs="Arial"/>
          <w:b/>
          <w:bCs/>
          <w:sz w:val="36"/>
          <w:szCs w:val="36"/>
          <w:lang w:val="cs-CZ"/>
        </w:rPr>
        <w:t>volá po zdravějších online návycích adolescentů</w:t>
      </w:r>
      <w:r w:rsidR="00E056F0" w:rsidRPr="00C606BB">
        <w:rPr>
          <w:rFonts w:ascii="Arial" w:hAnsi="Arial" w:cs="Arial"/>
          <w:b/>
          <w:bCs/>
          <w:sz w:val="36"/>
          <w:szCs w:val="36"/>
          <w:lang w:val="cs-CZ"/>
        </w:rPr>
        <w:t xml:space="preserve"> </w:t>
      </w:r>
    </w:p>
    <w:p w14:paraId="2D563FFE" w14:textId="71D02B65" w:rsidR="00BF69FE" w:rsidRPr="001A49DD" w:rsidRDefault="00BF69FE">
      <w:pPr>
        <w:spacing w:before="240" w:after="240"/>
        <w:rPr>
          <w:rFonts w:ascii="Arial" w:hAnsi="Arial" w:cs="Arial"/>
          <w:b/>
          <w:lang w:val="cs-CZ"/>
        </w:rPr>
      </w:pPr>
      <w:bookmarkStart w:id="0" w:name="_3x7ebkeqz5ns" w:colFirst="0" w:colLast="0"/>
      <w:bookmarkEnd w:id="0"/>
      <w:r w:rsidRPr="001A49DD">
        <w:rPr>
          <w:rFonts w:ascii="Arial" w:hAnsi="Arial" w:cs="Arial"/>
          <w:b/>
          <w:lang w:val="cs-CZ"/>
        </w:rPr>
        <w:t>Kodaň</w:t>
      </w:r>
      <w:r w:rsidR="009418C3">
        <w:rPr>
          <w:rFonts w:ascii="Arial" w:hAnsi="Arial" w:cs="Arial"/>
          <w:b/>
          <w:lang w:val="cs-CZ"/>
        </w:rPr>
        <w:t>/Brno</w:t>
      </w:r>
      <w:r w:rsidRPr="001A49DD">
        <w:rPr>
          <w:rFonts w:ascii="Arial" w:hAnsi="Arial" w:cs="Arial"/>
          <w:b/>
          <w:lang w:val="cs-CZ"/>
        </w:rPr>
        <w:t xml:space="preserve">, 25. září </w:t>
      </w:r>
      <w:r w:rsidRPr="009418C3">
        <w:rPr>
          <w:rFonts w:ascii="Arial" w:hAnsi="Arial" w:cs="Arial"/>
          <w:b/>
          <w:lang w:val="cs-CZ"/>
        </w:rPr>
        <w:t>2024</w:t>
      </w:r>
      <w:r w:rsidRPr="001A49DD">
        <w:rPr>
          <w:rFonts w:ascii="Arial" w:hAnsi="Arial" w:cs="Arial"/>
          <w:bCs/>
          <w:lang w:val="cs-CZ"/>
        </w:rPr>
        <w:t xml:space="preserve"> - Nová data </w:t>
      </w:r>
      <w:r w:rsidR="0014152B" w:rsidRPr="001A49DD">
        <w:rPr>
          <w:rFonts w:ascii="Arial" w:hAnsi="Arial" w:cs="Arial"/>
          <w:bCs/>
          <w:lang w:val="cs-CZ"/>
        </w:rPr>
        <w:t xml:space="preserve">evropské sekce Světové zdravotnické organizace </w:t>
      </w:r>
      <w:r w:rsidRPr="001A49DD">
        <w:rPr>
          <w:rFonts w:ascii="Arial" w:hAnsi="Arial" w:cs="Arial"/>
          <w:bCs/>
          <w:lang w:val="cs-CZ"/>
        </w:rPr>
        <w:t xml:space="preserve">ukazují prudký nárůst problematického používání sociálních médií mezi dospívajícími, a to ze 7 % v roce 2018 na 11 % v roce 2022. To spolu se zjištěním, že 12 % dospívajících je ohroženo problémovým hraním her, vyvolává naléhavé obavy ohledně dopadu digitálních technologií na duševní zdraví a pohodu evropské mládeže. Tato zjištění vyplývají ze studie </w:t>
      </w:r>
      <w:proofErr w:type="spellStart"/>
      <w:r w:rsidRPr="001A49DD">
        <w:rPr>
          <w:rFonts w:ascii="Arial" w:hAnsi="Arial" w:cs="Arial"/>
          <w:bCs/>
          <w:lang w:val="cs-CZ"/>
        </w:rPr>
        <w:t>Health</w:t>
      </w:r>
      <w:proofErr w:type="spellEnd"/>
      <w:r w:rsidRPr="001A49DD">
        <w:rPr>
          <w:rFonts w:ascii="Arial" w:hAnsi="Arial" w:cs="Arial"/>
          <w:bCs/>
          <w:lang w:val="cs-CZ"/>
        </w:rPr>
        <w:t xml:space="preserve"> </w:t>
      </w:r>
      <w:proofErr w:type="spellStart"/>
      <w:r w:rsidRPr="001A49DD">
        <w:rPr>
          <w:rFonts w:ascii="Arial" w:hAnsi="Arial" w:cs="Arial"/>
          <w:bCs/>
          <w:lang w:val="cs-CZ"/>
        </w:rPr>
        <w:t>Behaviour</w:t>
      </w:r>
      <w:proofErr w:type="spellEnd"/>
      <w:r w:rsidRPr="001A49DD">
        <w:rPr>
          <w:rFonts w:ascii="Arial" w:hAnsi="Arial" w:cs="Arial"/>
          <w:bCs/>
          <w:lang w:val="cs-CZ"/>
        </w:rPr>
        <w:t xml:space="preserve"> in </w:t>
      </w:r>
      <w:proofErr w:type="spellStart"/>
      <w:r w:rsidRPr="001A49DD">
        <w:rPr>
          <w:rFonts w:ascii="Arial" w:hAnsi="Arial" w:cs="Arial"/>
          <w:bCs/>
          <w:lang w:val="cs-CZ"/>
        </w:rPr>
        <w:t>School-aged</w:t>
      </w:r>
      <w:proofErr w:type="spellEnd"/>
      <w:r w:rsidRPr="001A49DD">
        <w:rPr>
          <w:rFonts w:ascii="Arial" w:hAnsi="Arial" w:cs="Arial"/>
          <w:bCs/>
          <w:lang w:val="cs-CZ"/>
        </w:rPr>
        <w:t xml:space="preserve"> </w:t>
      </w:r>
      <w:proofErr w:type="spellStart"/>
      <w:r w:rsidRPr="001A49DD">
        <w:rPr>
          <w:rFonts w:ascii="Arial" w:hAnsi="Arial" w:cs="Arial"/>
          <w:bCs/>
          <w:lang w:val="cs-CZ"/>
        </w:rPr>
        <w:t>Children</w:t>
      </w:r>
      <w:proofErr w:type="spellEnd"/>
      <w:r w:rsidRPr="001A49DD">
        <w:rPr>
          <w:rFonts w:ascii="Arial" w:hAnsi="Arial" w:cs="Arial"/>
          <w:bCs/>
          <w:lang w:val="cs-CZ"/>
        </w:rPr>
        <w:t xml:space="preserve"> (HBSC), která v roce 2022 zkoumala téměř 280 000 mladých lidí ve věku 11, 13 a 15 let ve 44 zemích a regionech Evropy, střední Asie a Kanady.</w:t>
      </w:r>
      <w:r w:rsidR="0014152B" w:rsidRPr="001A49DD">
        <w:rPr>
          <w:rFonts w:ascii="Arial" w:hAnsi="Arial" w:cs="Arial"/>
          <w:bCs/>
          <w:lang w:val="cs-CZ"/>
        </w:rPr>
        <w:t xml:space="preserve"> Na </w:t>
      </w:r>
      <w:r w:rsidR="00D44F39" w:rsidRPr="001A49DD">
        <w:rPr>
          <w:rFonts w:ascii="Arial" w:hAnsi="Arial" w:cs="Arial"/>
          <w:bCs/>
          <w:lang w:val="cs-CZ"/>
        </w:rPr>
        <w:t xml:space="preserve">výzkumu </w:t>
      </w:r>
      <w:r w:rsidR="009418C3">
        <w:rPr>
          <w:rFonts w:ascii="Arial" w:hAnsi="Arial" w:cs="Arial"/>
          <w:bCs/>
          <w:lang w:val="cs-CZ"/>
        </w:rPr>
        <w:t xml:space="preserve">a vydané zprávě </w:t>
      </w:r>
      <w:r w:rsidR="00D44F39" w:rsidRPr="001A49DD">
        <w:rPr>
          <w:rFonts w:ascii="Arial" w:hAnsi="Arial" w:cs="Arial"/>
          <w:bCs/>
          <w:lang w:val="cs-CZ"/>
        </w:rPr>
        <w:t xml:space="preserve">se </w:t>
      </w:r>
      <w:r w:rsidR="00EA1E80">
        <w:rPr>
          <w:rFonts w:ascii="Arial" w:hAnsi="Arial" w:cs="Arial"/>
          <w:bCs/>
          <w:lang w:val="cs-CZ"/>
        </w:rPr>
        <w:t xml:space="preserve">výrazně </w:t>
      </w:r>
      <w:r w:rsidR="00D44F39" w:rsidRPr="001A49DD">
        <w:rPr>
          <w:rFonts w:ascii="Arial" w:hAnsi="Arial" w:cs="Arial"/>
          <w:bCs/>
          <w:lang w:val="cs-CZ"/>
        </w:rPr>
        <w:t xml:space="preserve">podílel </w:t>
      </w:r>
      <w:hyperlink r:id="rId9" w:history="1">
        <w:r w:rsidR="00D44F39" w:rsidRPr="00647543">
          <w:rPr>
            <w:rStyle w:val="Hyperlink"/>
            <w:rFonts w:ascii="Arial" w:hAnsi="Arial" w:cs="Arial"/>
            <w:bCs/>
            <w:lang w:val="cs-CZ"/>
          </w:rPr>
          <w:t>Lukas Blinka</w:t>
        </w:r>
      </w:hyperlink>
      <w:r w:rsidR="00D44F39" w:rsidRPr="001A49DD">
        <w:rPr>
          <w:rFonts w:ascii="Arial" w:hAnsi="Arial" w:cs="Arial"/>
          <w:bCs/>
          <w:lang w:val="cs-CZ"/>
        </w:rPr>
        <w:t xml:space="preserve"> z</w:t>
      </w:r>
      <w:r w:rsidR="002F3647">
        <w:rPr>
          <w:rFonts w:ascii="Arial" w:hAnsi="Arial" w:cs="Arial"/>
          <w:bCs/>
          <w:lang w:val="cs-CZ"/>
        </w:rPr>
        <w:t> </w:t>
      </w:r>
      <w:hyperlink r:id="rId10" w:history="1">
        <w:r w:rsidR="002F3647" w:rsidRPr="002F3647">
          <w:rPr>
            <w:rStyle w:val="Hyperlink"/>
            <w:rFonts w:ascii="Arial" w:hAnsi="Arial" w:cs="Arial"/>
            <w:bCs/>
            <w:lang w:val="cs-CZ"/>
          </w:rPr>
          <w:t>Institutu pro psychologický výzkum</w:t>
        </w:r>
      </w:hyperlink>
      <w:r w:rsidR="002F3647">
        <w:rPr>
          <w:rFonts w:ascii="Arial" w:hAnsi="Arial" w:cs="Arial"/>
          <w:bCs/>
          <w:lang w:val="cs-CZ"/>
        </w:rPr>
        <w:t xml:space="preserve"> </w:t>
      </w:r>
      <w:r w:rsidR="00D44F39" w:rsidRPr="001A49DD">
        <w:rPr>
          <w:rFonts w:ascii="Arial" w:hAnsi="Arial" w:cs="Arial"/>
          <w:bCs/>
          <w:lang w:val="cs-CZ"/>
        </w:rPr>
        <w:t>Masarykovy univerzity.</w:t>
      </w:r>
    </w:p>
    <w:p w14:paraId="0B944D2B" w14:textId="1F9A07DF" w:rsidR="00906AB0" w:rsidRPr="001A49DD" w:rsidRDefault="00D44F39" w:rsidP="001F32F3">
      <w:pPr>
        <w:spacing w:before="240" w:after="0"/>
        <w:rPr>
          <w:rFonts w:ascii="Arial" w:hAnsi="Arial" w:cs="Arial"/>
          <w:b/>
          <w:lang w:val="cs-CZ"/>
        </w:rPr>
      </w:pPr>
      <w:r w:rsidRPr="001A49DD">
        <w:rPr>
          <w:rFonts w:ascii="Arial" w:hAnsi="Arial" w:cs="Arial"/>
          <w:b/>
          <w:lang w:val="cs-CZ"/>
        </w:rPr>
        <w:t>Klíčová zjištění zahrnují</w:t>
      </w:r>
      <w:r w:rsidR="005915FD" w:rsidRPr="001A49DD">
        <w:rPr>
          <w:rFonts w:ascii="Arial" w:hAnsi="Arial" w:cs="Arial"/>
          <w:b/>
          <w:lang w:val="cs-CZ"/>
        </w:rPr>
        <w:t>:</w:t>
      </w:r>
    </w:p>
    <w:p w14:paraId="7AF48FAC" w14:textId="74ED714F" w:rsidR="00C96F0A" w:rsidRPr="001A49DD" w:rsidRDefault="00C96F0A" w:rsidP="00C96F0A">
      <w:pPr>
        <w:pStyle w:val="ListParagraph"/>
        <w:numPr>
          <w:ilvl w:val="0"/>
          <w:numId w:val="8"/>
        </w:numPr>
        <w:spacing w:before="240" w:after="240"/>
        <w:rPr>
          <w:rFonts w:ascii="Arial" w:hAnsi="Arial" w:cs="Arial"/>
          <w:lang w:val="cs-CZ"/>
        </w:rPr>
      </w:pPr>
      <w:r w:rsidRPr="001A49DD">
        <w:rPr>
          <w:rFonts w:ascii="Arial" w:hAnsi="Arial" w:cs="Arial"/>
          <w:lang w:val="cs-CZ"/>
        </w:rPr>
        <w:t xml:space="preserve">Více než 1 z 10 dospívajících (11 %) vykazoval známky problematického chování na sociálních sítích, </w:t>
      </w:r>
      <w:r w:rsidR="003E5316" w:rsidRPr="001A49DD">
        <w:rPr>
          <w:rFonts w:ascii="Arial" w:hAnsi="Arial" w:cs="Arial"/>
          <w:lang w:val="cs-CZ"/>
        </w:rPr>
        <w:t xml:space="preserve">měl potíže </w:t>
      </w:r>
      <w:r w:rsidRPr="001A49DD">
        <w:rPr>
          <w:rFonts w:ascii="Arial" w:hAnsi="Arial" w:cs="Arial"/>
          <w:lang w:val="cs-CZ"/>
        </w:rPr>
        <w:t>kontrolovat jejich používání a pociťoval negativní důsledky. Dívky uváděly vyšší míru problematického používání sociálních médií než chlapci (13 % oproti 9 %).</w:t>
      </w:r>
    </w:p>
    <w:p w14:paraId="1338C468" w14:textId="6466B9D8" w:rsidR="00C96F0A" w:rsidRPr="001A49DD" w:rsidRDefault="00C96F0A" w:rsidP="00C96F0A">
      <w:pPr>
        <w:pStyle w:val="ListParagraph"/>
        <w:numPr>
          <w:ilvl w:val="0"/>
          <w:numId w:val="8"/>
        </w:numPr>
        <w:spacing w:before="240" w:after="240"/>
        <w:rPr>
          <w:rFonts w:ascii="Arial" w:hAnsi="Arial" w:cs="Arial"/>
          <w:lang w:val="cs-CZ"/>
        </w:rPr>
      </w:pPr>
      <w:r w:rsidRPr="001A49DD">
        <w:rPr>
          <w:rFonts w:ascii="Arial" w:hAnsi="Arial" w:cs="Arial"/>
          <w:lang w:val="cs-CZ"/>
        </w:rPr>
        <w:t>Více než třetina (36 %) mladých lidí uvedla, že je v neustálém kontaktu s přáteli online, přičemž nejvyšší míra byla zaznamenána u patnáctiletých dívek (44 %).</w:t>
      </w:r>
    </w:p>
    <w:p w14:paraId="03D37445" w14:textId="1B244B6F" w:rsidR="00C96F0A" w:rsidRPr="001A49DD" w:rsidRDefault="00C96F0A" w:rsidP="00C96F0A">
      <w:pPr>
        <w:pStyle w:val="ListParagraph"/>
        <w:numPr>
          <w:ilvl w:val="0"/>
          <w:numId w:val="8"/>
        </w:numPr>
        <w:spacing w:before="240" w:after="240"/>
        <w:rPr>
          <w:rFonts w:ascii="Arial" w:hAnsi="Arial" w:cs="Arial"/>
          <w:lang w:val="cs-CZ"/>
        </w:rPr>
      </w:pPr>
      <w:r w:rsidRPr="001A49DD">
        <w:rPr>
          <w:rFonts w:ascii="Arial" w:hAnsi="Arial" w:cs="Arial"/>
          <w:lang w:val="cs-CZ"/>
        </w:rPr>
        <w:t xml:space="preserve">Třetina (34 %) dospívajících hrála digitální hry denně, přičemž více než 1 z 5 (22 %) </w:t>
      </w:r>
      <w:r w:rsidR="002D00A7">
        <w:rPr>
          <w:rFonts w:ascii="Arial" w:hAnsi="Arial" w:cs="Arial"/>
          <w:lang w:val="cs-CZ"/>
        </w:rPr>
        <w:t xml:space="preserve">adolescentů </w:t>
      </w:r>
      <w:r w:rsidRPr="001A49DD">
        <w:rPr>
          <w:rFonts w:ascii="Arial" w:hAnsi="Arial" w:cs="Arial"/>
          <w:lang w:val="cs-CZ"/>
        </w:rPr>
        <w:t>hrál alespoň 4 hodiny ve dnech, kdy se věnoval hraní her.</w:t>
      </w:r>
    </w:p>
    <w:p w14:paraId="213BB4B3" w14:textId="3371CD42" w:rsidR="00C96F0A" w:rsidRPr="001A49DD" w:rsidRDefault="00C96F0A" w:rsidP="00C96F0A">
      <w:pPr>
        <w:pStyle w:val="ListParagraph"/>
        <w:numPr>
          <w:ilvl w:val="0"/>
          <w:numId w:val="8"/>
        </w:numPr>
        <w:spacing w:before="240" w:after="240"/>
        <w:rPr>
          <w:rFonts w:ascii="Arial" w:hAnsi="Arial" w:cs="Arial"/>
          <w:lang w:val="cs-CZ"/>
        </w:rPr>
      </w:pPr>
      <w:r w:rsidRPr="001A49DD">
        <w:rPr>
          <w:rFonts w:ascii="Arial" w:hAnsi="Arial" w:cs="Arial"/>
          <w:lang w:val="cs-CZ"/>
        </w:rPr>
        <w:t>12 % dospívajících je ohroženo problémovým hraním, přičemž chlapci vykazují známky problémového hraní častěji než dívky (16 % oproti 7 %).</w:t>
      </w:r>
    </w:p>
    <w:p w14:paraId="2D61359F" w14:textId="77777777" w:rsidR="00F81837" w:rsidRPr="001A49DD" w:rsidRDefault="00F81837">
      <w:pPr>
        <w:spacing w:before="240" w:after="240"/>
        <w:rPr>
          <w:rFonts w:ascii="Arial" w:hAnsi="Arial" w:cs="Arial"/>
          <w:lang w:val="cs-CZ"/>
        </w:rPr>
      </w:pPr>
      <w:r w:rsidRPr="001A49DD">
        <w:rPr>
          <w:rFonts w:ascii="Arial" w:hAnsi="Arial" w:cs="Arial"/>
          <w:lang w:val="cs-CZ"/>
        </w:rPr>
        <w:t xml:space="preserve">Zpráva definuje problematické používání sociálních médií jako vzorec chování, který se vyznačuje příznaky podobnými závislosti. Mezi ně patří neschopnost kontrolovat používání sociálních médií, abstinenční příznaky, když je nepoužíváte, zanedbávání jiných aktivit ve prospěch sociálních médií a negativní důsledky v každodenním životě v důsledku nadměrného používání. </w:t>
      </w:r>
    </w:p>
    <w:p w14:paraId="02C3E5BE" w14:textId="77777777" w:rsidR="001A49DD" w:rsidRPr="001A49DD" w:rsidRDefault="001A49DD" w:rsidP="001F32F3">
      <w:pPr>
        <w:spacing w:before="240" w:after="160" w:line="240" w:lineRule="auto"/>
        <w:rPr>
          <w:rFonts w:ascii="Arial" w:hAnsi="Arial" w:cs="Arial"/>
          <w:b/>
          <w:lang w:val="cs-CZ"/>
        </w:rPr>
      </w:pPr>
      <w:r w:rsidRPr="001A49DD">
        <w:rPr>
          <w:rFonts w:ascii="Arial" w:hAnsi="Arial" w:cs="Arial"/>
          <w:b/>
          <w:lang w:val="cs-CZ"/>
        </w:rPr>
        <w:t>Důsledky zvýšeného problematického používání sociálních médií</w:t>
      </w:r>
    </w:p>
    <w:p w14:paraId="27618DBF" w14:textId="6C4E1FC8" w:rsidR="001A49DD" w:rsidRPr="001F32F3" w:rsidRDefault="001A49DD" w:rsidP="001F32F3">
      <w:pPr>
        <w:rPr>
          <w:rFonts w:ascii="Arial" w:hAnsi="Arial" w:cs="Arial"/>
          <w:lang w:val="cs-CZ"/>
        </w:rPr>
      </w:pPr>
      <w:r w:rsidRPr="001F32F3">
        <w:rPr>
          <w:rFonts w:ascii="Arial" w:hAnsi="Arial" w:cs="Arial"/>
          <w:lang w:val="cs-CZ"/>
        </w:rPr>
        <w:t xml:space="preserve">Nárůst problematického používání sociálních médií mezi dospívajícími vyvolává značné obavy ohledně možných dopadů na mladé lidi. </w:t>
      </w:r>
      <w:hyperlink r:id="rId11" w:history="1">
        <w:r w:rsidRPr="001F32F3">
          <w:rPr>
            <w:rStyle w:val="Hyperlink"/>
            <w:rFonts w:ascii="Arial" w:hAnsi="Arial" w:cs="Arial"/>
            <w:lang w:val="cs-CZ"/>
          </w:rPr>
          <w:t>Předchozí výzkumy</w:t>
        </w:r>
      </w:hyperlink>
      <w:r w:rsidRPr="001F32F3">
        <w:rPr>
          <w:rFonts w:ascii="Arial" w:hAnsi="Arial" w:cs="Arial"/>
          <w:lang w:val="cs-CZ"/>
        </w:rPr>
        <w:t xml:space="preserve"> zjistily, že problematičtí uživatelé sociálních médií také uvádějí nižší duševní a sociální pohodu a vyšší míru užívání návykových látek ve srovnání s neproblematickými uživateli a neuživateli. Pokud by tento trend pokračoval, mohl by mít dalekosáhlé důsledky pro vývoj dospívajících a </w:t>
      </w:r>
      <w:r w:rsidR="002D00A7">
        <w:rPr>
          <w:rFonts w:ascii="Arial" w:hAnsi="Arial" w:cs="Arial"/>
          <w:lang w:val="cs-CZ"/>
        </w:rPr>
        <w:t>jejich duševní zdraví</w:t>
      </w:r>
      <w:r w:rsidRPr="002D00A7">
        <w:rPr>
          <w:rFonts w:ascii="Arial" w:hAnsi="Arial" w:cs="Arial"/>
          <w:lang w:val="cs-CZ"/>
        </w:rPr>
        <w:t xml:space="preserve">. </w:t>
      </w:r>
      <w:r w:rsidRPr="001F32F3">
        <w:rPr>
          <w:rFonts w:ascii="Arial" w:hAnsi="Arial" w:cs="Arial"/>
          <w:lang w:val="cs-CZ"/>
        </w:rPr>
        <w:t xml:space="preserve">Problémové užívání sociálních médií bylo navíc spojeno s kratším spánkem a pozdější dobou spánku, což může mít dopad na celkové zdraví a studijní </w:t>
      </w:r>
      <w:r w:rsidRPr="002D00A7">
        <w:rPr>
          <w:rFonts w:ascii="Arial" w:hAnsi="Arial" w:cs="Arial"/>
          <w:lang w:val="cs-CZ"/>
        </w:rPr>
        <w:t>výsledky</w:t>
      </w:r>
      <w:r w:rsidRPr="001F32F3">
        <w:rPr>
          <w:rFonts w:ascii="Arial" w:hAnsi="Arial" w:cs="Arial"/>
          <w:lang w:val="cs-CZ"/>
        </w:rPr>
        <w:t xml:space="preserve"> dospívajících.</w:t>
      </w:r>
    </w:p>
    <w:p w14:paraId="0148845E" w14:textId="3428FFA8" w:rsidR="00221E2B" w:rsidRPr="0050346C" w:rsidRDefault="00221E2B">
      <w:pPr>
        <w:spacing w:before="240" w:after="240"/>
        <w:rPr>
          <w:rFonts w:ascii="Arial" w:hAnsi="Arial" w:cs="Arial"/>
          <w:lang w:val="cs-CZ"/>
        </w:rPr>
      </w:pPr>
      <w:r w:rsidRPr="0050346C">
        <w:rPr>
          <w:rFonts w:ascii="Arial" w:hAnsi="Arial" w:cs="Arial"/>
          <w:lang w:val="cs-CZ"/>
        </w:rPr>
        <w:t xml:space="preserve">„Je zřejmé, že sociální média mohou mít jak pozitivní, tak negativní důsledky pro zdraví a pohodu dospívajících,“ poznamenal Hans Henri P. </w:t>
      </w:r>
      <w:proofErr w:type="spellStart"/>
      <w:r w:rsidRPr="0050346C">
        <w:rPr>
          <w:rFonts w:ascii="Arial" w:hAnsi="Arial" w:cs="Arial"/>
          <w:lang w:val="cs-CZ"/>
        </w:rPr>
        <w:t>Kluge</w:t>
      </w:r>
      <w:proofErr w:type="spellEnd"/>
      <w:r w:rsidRPr="0050346C">
        <w:rPr>
          <w:rFonts w:ascii="Arial" w:hAnsi="Arial" w:cs="Arial"/>
          <w:lang w:val="cs-CZ"/>
        </w:rPr>
        <w:t>, regionální ředitel WHO pro Evropu. „Proto je vzdělávání v oblasti digitální gramotnosti tak důležité. Přesto je v mnoha zemích stále nedostatečné a tam, kde je k dispozici, často nedokáže držet krok s mladými lidmi a rychle se vyvíjejícími technologiemi. Jsme svědky důsledků tohoto nedostatku, přičemž je pravděpodobné, že dojde k ještě horším situacím, pokud vlády, zdravotnické orgány, učitelé a rodiče nerozpoznají základní příčiny současné situace a nepřijmou opatření k jej</w:t>
      </w:r>
      <w:r w:rsidR="002D00A7">
        <w:rPr>
          <w:rFonts w:ascii="Arial" w:hAnsi="Arial" w:cs="Arial"/>
          <w:lang w:val="cs-CZ"/>
        </w:rPr>
        <w:t>ich</w:t>
      </w:r>
      <w:r w:rsidRPr="0050346C">
        <w:rPr>
          <w:rFonts w:ascii="Arial" w:hAnsi="Arial" w:cs="Arial"/>
          <w:lang w:val="cs-CZ"/>
        </w:rPr>
        <w:t xml:space="preserve"> nápravě. V době, kdy se miliony dětí v celém regionu vracejí po letních prázdninách do škol, zvažují některé země omezení nebo úplný zákaz sociálních médií pro děti do určitého věku. Je zřejmé, že potřebujeme okamžitá a trvalá opatření, která pomohou dospívajícím odvrátit potenciálně škodlivé používání sociálních médií, které prokazatelně vede k depresím, šikaně, úzkostem a špatným studijním výsledkům.</w:t>
      </w:r>
      <w:r w:rsidR="00032B46" w:rsidRPr="0050346C">
        <w:rPr>
          <w:rFonts w:ascii="Arial" w:hAnsi="Arial" w:cs="Arial"/>
          <w:lang w:val="cs-CZ"/>
        </w:rPr>
        <w:t>“</w:t>
      </w:r>
      <w:r w:rsidRPr="0050346C">
        <w:rPr>
          <w:rFonts w:ascii="Arial" w:hAnsi="Arial" w:cs="Arial"/>
          <w:lang w:val="cs-CZ"/>
        </w:rPr>
        <w:t xml:space="preserve"> </w:t>
      </w:r>
    </w:p>
    <w:p w14:paraId="6F3EB558" w14:textId="77777777" w:rsidR="001F5B7C" w:rsidRDefault="001F5B7C" w:rsidP="001F32F3">
      <w:pPr>
        <w:spacing w:before="240" w:after="160" w:line="240" w:lineRule="auto"/>
        <w:rPr>
          <w:rFonts w:ascii="Arial" w:hAnsi="Arial" w:cs="Arial"/>
          <w:b/>
          <w:lang w:val="cs-CZ"/>
        </w:rPr>
      </w:pPr>
      <w:r w:rsidRPr="001F5B7C">
        <w:rPr>
          <w:rFonts w:ascii="Arial" w:hAnsi="Arial" w:cs="Arial"/>
          <w:b/>
          <w:lang w:val="cs-CZ"/>
        </w:rPr>
        <w:lastRenderedPageBreak/>
        <w:t>Pozitivní aspekty používání sociálních médií</w:t>
      </w:r>
    </w:p>
    <w:p w14:paraId="7289A67D" w14:textId="77777777" w:rsidR="00BC4A7D" w:rsidRDefault="00BC4A7D" w:rsidP="001F32F3">
      <w:pPr>
        <w:spacing w:after="240"/>
        <w:rPr>
          <w:rFonts w:ascii="Arial" w:hAnsi="Arial" w:cs="Arial"/>
          <w:lang w:val="cs-CZ"/>
        </w:rPr>
      </w:pPr>
      <w:r w:rsidRPr="00BC4A7D">
        <w:rPr>
          <w:rFonts w:ascii="Arial" w:hAnsi="Arial" w:cs="Arial"/>
          <w:lang w:val="cs-CZ"/>
        </w:rPr>
        <w:t>Zpráva upozorňuje na rizika, ale zároveň zdůrazňuje výhody odpovědného používání sociálních médií. Dospívající, kteří jsou intenzivními, ale neproblematickými uživateli, uváděli silnější podporu vrstevníků a sociální vazby.</w:t>
      </w:r>
    </w:p>
    <w:p w14:paraId="1CC3EB05" w14:textId="7CD83EFE" w:rsidR="00E4450A" w:rsidRDefault="00E4450A">
      <w:pPr>
        <w:spacing w:before="240" w:after="240"/>
        <w:rPr>
          <w:rFonts w:ascii="Arial" w:hAnsi="Arial" w:cs="Arial"/>
          <w:lang w:val="cs-CZ"/>
        </w:rPr>
      </w:pPr>
      <w:r w:rsidRPr="00E4450A">
        <w:rPr>
          <w:rFonts w:ascii="Arial" w:hAnsi="Arial" w:cs="Arial"/>
          <w:lang w:val="cs-CZ"/>
        </w:rPr>
        <w:t>Jeden sedmnáctiletý chlapec z Polska se svěřil: „Sociální média mají mnoho výhod, zejména pokud se používají s mírou. Mezi výhody patří spojení a propojení. Teenageři se mohou setkat s dalšími lidmi, kteří sdílejí jejich vášně a zájmy.“</w:t>
      </w:r>
    </w:p>
    <w:p w14:paraId="2434BBB3" w14:textId="23E49E43" w:rsidR="0050346C" w:rsidRPr="0050346C" w:rsidRDefault="0050346C">
      <w:pPr>
        <w:spacing w:before="240" w:after="240"/>
        <w:rPr>
          <w:rFonts w:ascii="Arial" w:hAnsi="Arial" w:cs="Arial"/>
          <w:bCs/>
          <w:lang w:val="cs-CZ"/>
        </w:rPr>
      </w:pPr>
      <w:r w:rsidRPr="0050346C">
        <w:rPr>
          <w:rFonts w:ascii="Arial" w:hAnsi="Arial" w:cs="Arial"/>
          <w:bCs/>
          <w:lang w:val="cs-CZ"/>
        </w:rPr>
        <w:t xml:space="preserve">„Tato studie odhaluje, že digitální zapojení je pro naše mladé lidi příslibem i úskalím,“ uvedla Natasha </w:t>
      </w:r>
      <w:proofErr w:type="spellStart"/>
      <w:r w:rsidRPr="0050346C">
        <w:rPr>
          <w:rFonts w:ascii="Arial" w:hAnsi="Arial" w:cs="Arial"/>
          <w:bCs/>
          <w:lang w:val="cs-CZ"/>
        </w:rPr>
        <w:t>Azzopardi-Muscat</w:t>
      </w:r>
      <w:proofErr w:type="spellEnd"/>
      <w:r w:rsidRPr="0050346C">
        <w:rPr>
          <w:rFonts w:ascii="Arial" w:hAnsi="Arial" w:cs="Arial"/>
          <w:bCs/>
          <w:lang w:val="cs-CZ"/>
        </w:rPr>
        <w:t>, ředitelka pro zdravotní politiky a systémy v jednotlivých zemích WHO/Evropa. „Je velmi důležité, abychom přijali opatření na ochranu mladých lidí, aby se mohli bezpečně pohybovat v digitálním prostředí, a vybavili je tak, aby se mohli informovaně rozhodovat o svých online aktivitách, maximalizovat přínosy a zároveň minimalizovat rizika pro jejich duševní a sociální pohodu. Stručně řečeno, oni by měli vládnout sociálním médiím, a ne aby sociální média vládla jim.“</w:t>
      </w:r>
    </w:p>
    <w:p w14:paraId="0B944D38" w14:textId="3314134A" w:rsidR="00906AB0" w:rsidRPr="001A49DD" w:rsidRDefault="007B709B" w:rsidP="001F32F3">
      <w:pPr>
        <w:spacing w:before="240" w:after="160"/>
        <w:rPr>
          <w:rFonts w:ascii="Arial" w:hAnsi="Arial" w:cs="Arial"/>
          <w:b/>
          <w:lang w:val="cs-CZ"/>
        </w:rPr>
      </w:pPr>
      <w:r w:rsidRPr="007B709B">
        <w:rPr>
          <w:rFonts w:ascii="Arial" w:hAnsi="Arial" w:cs="Arial"/>
          <w:b/>
          <w:lang w:val="cs-CZ"/>
        </w:rPr>
        <w:t>Herní trendy a jejich důsledky</w:t>
      </w:r>
    </w:p>
    <w:p w14:paraId="0B944D39" w14:textId="1B394D6B" w:rsidR="00906AB0" w:rsidRPr="001A49DD" w:rsidRDefault="007B709B" w:rsidP="001F32F3">
      <w:pPr>
        <w:spacing w:after="240"/>
        <w:rPr>
          <w:rFonts w:ascii="Arial" w:hAnsi="Arial" w:cs="Arial"/>
          <w:lang w:val="cs-CZ"/>
        </w:rPr>
      </w:pPr>
      <w:r w:rsidRPr="007B709B">
        <w:rPr>
          <w:rFonts w:ascii="Arial" w:hAnsi="Arial" w:cs="Arial"/>
          <w:lang w:val="cs-CZ"/>
        </w:rPr>
        <w:t xml:space="preserve">Zpráva také ukazuje, že 34 % dospívajících hraje digitální hry denně, přičemž 22 % z nich hraje v herní dny alespoň čtyři hodiny. Zatímco 68 % bylo klasifikováno jako neproblematičtí hráči, 12 % bylo ohroženo problémovým hraním. </w:t>
      </w:r>
    </w:p>
    <w:p w14:paraId="179460CD" w14:textId="2308DABF" w:rsidR="007B709B" w:rsidRDefault="00251E92">
      <w:pPr>
        <w:spacing w:before="240" w:after="240"/>
        <w:rPr>
          <w:rFonts w:ascii="Arial" w:hAnsi="Arial" w:cs="Arial"/>
          <w:lang w:val="cs-CZ"/>
        </w:rPr>
      </w:pPr>
      <w:hyperlink r:id="rId12" w:history="1">
        <w:r w:rsidR="007B709B" w:rsidRPr="00B356E0">
          <w:rPr>
            <w:rStyle w:val="Hyperlink"/>
            <w:rFonts w:ascii="Arial" w:hAnsi="Arial" w:cs="Arial"/>
            <w:lang w:val="cs-CZ"/>
          </w:rPr>
          <w:t>Předchozí studie HBSC</w:t>
        </w:r>
      </w:hyperlink>
      <w:r w:rsidR="007B709B" w:rsidRPr="007B709B">
        <w:rPr>
          <w:rFonts w:ascii="Arial" w:hAnsi="Arial" w:cs="Arial"/>
          <w:lang w:val="cs-CZ"/>
        </w:rPr>
        <w:t xml:space="preserve"> zkoumající problematické chování při hraní online her v pěti zemích zjistila souvislosti s nižší životní spokojeností, častějšími psychickými stížnostmi a nižší podporou ze strany vrstevníků. Pro mnoho dospívajících však zůstává hraní her neškodnou nebo dokonce prospěšnou zábavou.</w:t>
      </w:r>
    </w:p>
    <w:p w14:paraId="6E244444" w14:textId="14982CBC" w:rsidR="0050346C" w:rsidRPr="0050346C" w:rsidRDefault="0050346C">
      <w:pPr>
        <w:spacing w:before="240" w:after="240"/>
        <w:rPr>
          <w:rFonts w:ascii="Arial" w:hAnsi="Arial" w:cs="Arial"/>
          <w:bCs/>
          <w:lang w:val="cs-CZ"/>
        </w:rPr>
      </w:pPr>
      <w:r w:rsidRPr="0050346C">
        <w:rPr>
          <w:rFonts w:ascii="Arial" w:hAnsi="Arial" w:cs="Arial"/>
          <w:bCs/>
          <w:lang w:val="cs-CZ"/>
        </w:rPr>
        <w:t>Claudia Marino, jedna z autorek zprávy z Padovské univerzity, uvedla: „Rozdíly mezi pohlavími ve způsobu hraní jsou zarážející. Chlapci nejenže vykazují vyšší míru každodenního hraní, ale je u nich také větší pravděpodobnost, že si vytvoří problematické herní návyky. To poukazuje na potřebu cílených intervencí, které by zohledňovaly motivace a rizikové faktory herního chování specifické pro jednotlivá pohlaví.“</w:t>
      </w:r>
    </w:p>
    <w:p w14:paraId="0B944D3C" w14:textId="25093ADF" w:rsidR="00906AB0" w:rsidRPr="001A49DD" w:rsidRDefault="00E4784F" w:rsidP="001F32F3">
      <w:pPr>
        <w:spacing w:before="240" w:after="160"/>
        <w:rPr>
          <w:rFonts w:ascii="Arial" w:hAnsi="Arial" w:cs="Arial"/>
          <w:b/>
          <w:lang w:val="cs-CZ"/>
        </w:rPr>
      </w:pPr>
      <w:r>
        <w:rPr>
          <w:rFonts w:ascii="Arial" w:hAnsi="Arial" w:cs="Arial"/>
          <w:b/>
          <w:lang w:val="cs-CZ"/>
        </w:rPr>
        <w:t xml:space="preserve">Důsledky pro praxi </w:t>
      </w:r>
    </w:p>
    <w:p w14:paraId="0B944D3D" w14:textId="66B6D940" w:rsidR="00906AB0" w:rsidRDefault="00674D87" w:rsidP="001F32F3">
      <w:pPr>
        <w:spacing w:after="240"/>
        <w:rPr>
          <w:rFonts w:ascii="Arial" w:hAnsi="Arial" w:cs="Arial"/>
          <w:lang w:val="cs-CZ"/>
        </w:rPr>
      </w:pPr>
      <w:r w:rsidRPr="00674D87">
        <w:rPr>
          <w:rFonts w:ascii="Arial" w:hAnsi="Arial" w:cs="Arial"/>
          <w:lang w:val="cs-CZ"/>
        </w:rPr>
        <w:t xml:space="preserve">Intervence zaměřené na problematické používání sociálních médií by měly být přiměřené věku, zohledňovat genderové aspekty a být přizpůsobeny kulturním podmínkám. Měly by se zaměřit na pomoc mladým lidem při rozvoji digitální gramotnosti, podporovat zdravé chování na internetu a poskytovat podporu těm, kteří jsou ohroženi problematickým používáním. </w:t>
      </w:r>
    </w:p>
    <w:p w14:paraId="2985A0CB" w14:textId="0216775D" w:rsidR="00BD1AAB" w:rsidRDefault="00BD1AAB">
      <w:pPr>
        <w:spacing w:before="240" w:after="240"/>
        <w:rPr>
          <w:rFonts w:ascii="Arial" w:hAnsi="Arial" w:cs="Arial"/>
          <w:lang w:val="cs-CZ"/>
        </w:rPr>
      </w:pPr>
      <w:r w:rsidRPr="00BD1AAB">
        <w:rPr>
          <w:rFonts w:ascii="Arial" w:hAnsi="Arial" w:cs="Arial"/>
          <w:lang w:val="cs-CZ"/>
        </w:rPr>
        <w:t>Jak navrhl jeden chlapec z Anglie: „Myslím, že je důležitější zlepšit a zabezpečit sociální média a naučit lidi, jak je bezpečně používat a starat se o sebe.“</w:t>
      </w:r>
    </w:p>
    <w:p w14:paraId="6C576C49" w14:textId="0EEACB2D" w:rsidR="00BD1AAB" w:rsidRPr="001A49DD" w:rsidRDefault="00E06A41">
      <w:pPr>
        <w:spacing w:before="240" w:after="240"/>
        <w:rPr>
          <w:rFonts w:ascii="Arial" w:hAnsi="Arial" w:cs="Arial"/>
          <w:lang w:val="cs-CZ"/>
        </w:rPr>
      </w:pPr>
      <w:r w:rsidRPr="00E06A41">
        <w:rPr>
          <w:rFonts w:ascii="Arial" w:hAnsi="Arial" w:cs="Arial"/>
          <w:lang w:val="cs-CZ"/>
        </w:rPr>
        <w:t>To poukazuje na potřebu zlepšit digitální prostředí a vzdělávání, které mladým lidem umožní bezpečně se pohybovat v online prostoru.</w:t>
      </w:r>
    </w:p>
    <w:p w14:paraId="0B944D40" w14:textId="33D1190C" w:rsidR="00906AB0" w:rsidRPr="001A49DD" w:rsidRDefault="00E4450A">
      <w:pPr>
        <w:spacing w:before="240" w:after="240"/>
        <w:rPr>
          <w:rFonts w:ascii="Arial" w:hAnsi="Arial" w:cs="Arial"/>
          <w:b/>
          <w:lang w:val="cs-CZ"/>
        </w:rPr>
      </w:pPr>
      <w:r>
        <w:rPr>
          <w:rFonts w:ascii="Arial" w:hAnsi="Arial" w:cs="Arial"/>
          <w:b/>
          <w:lang w:val="cs-CZ"/>
        </w:rPr>
        <w:t xml:space="preserve">Cesty ke zlepšení </w:t>
      </w:r>
    </w:p>
    <w:p w14:paraId="6F1383B4" w14:textId="5C9E160A" w:rsidR="00EA0AF8" w:rsidRDefault="00EA0AF8">
      <w:pPr>
        <w:spacing w:before="240" w:after="240"/>
        <w:rPr>
          <w:rFonts w:ascii="Arial" w:hAnsi="Arial" w:cs="Arial"/>
          <w:lang w:val="cs-CZ"/>
        </w:rPr>
      </w:pPr>
      <w:r w:rsidRPr="00EA0AF8">
        <w:rPr>
          <w:rFonts w:ascii="Arial" w:hAnsi="Arial" w:cs="Arial"/>
          <w:lang w:val="cs-CZ"/>
        </w:rPr>
        <w:t xml:space="preserve">Zjištění jsou sice </w:t>
      </w:r>
      <w:r>
        <w:rPr>
          <w:rFonts w:ascii="Arial" w:hAnsi="Arial" w:cs="Arial"/>
          <w:lang w:val="cs-CZ"/>
        </w:rPr>
        <w:t>varovná</w:t>
      </w:r>
      <w:r w:rsidRPr="00EA0AF8">
        <w:rPr>
          <w:rFonts w:ascii="Arial" w:hAnsi="Arial" w:cs="Arial"/>
          <w:lang w:val="cs-CZ"/>
        </w:rPr>
        <w:t xml:space="preserve">, ale zároveň nabízejí plán pro další postup. Regionální úřad WHO pro Evropu, který pokrývá Evropu a Střední Asii, vyzývá </w:t>
      </w:r>
      <w:r w:rsidR="002D00A7">
        <w:rPr>
          <w:rFonts w:ascii="Arial" w:hAnsi="Arial" w:cs="Arial"/>
          <w:lang w:val="cs-CZ"/>
        </w:rPr>
        <w:t>politiky</w:t>
      </w:r>
      <w:r w:rsidRPr="00EA0AF8">
        <w:rPr>
          <w:rFonts w:ascii="Arial" w:hAnsi="Arial" w:cs="Arial"/>
          <w:lang w:val="cs-CZ"/>
        </w:rPr>
        <w:t>, pedagogy a poskytovatele zdravotní péče, aby upřednostnili digitální pohodu dospívajících, a to s následujícími konkrétními výzvami k akci:</w:t>
      </w:r>
    </w:p>
    <w:p w14:paraId="49F1F6E0" w14:textId="51DE96CB" w:rsidR="0096290A" w:rsidRPr="0096290A" w:rsidRDefault="0096290A" w:rsidP="0096290A">
      <w:pPr>
        <w:pStyle w:val="ListParagraph"/>
        <w:numPr>
          <w:ilvl w:val="0"/>
          <w:numId w:val="9"/>
        </w:numPr>
        <w:spacing w:before="240" w:after="240"/>
        <w:rPr>
          <w:rFonts w:ascii="Arial" w:hAnsi="Arial" w:cs="Arial"/>
          <w:lang w:val="cs-CZ"/>
        </w:rPr>
      </w:pPr>
      <w:r w:rsidRPr="00E51756">
        <w:rPr>
          <w:rFonts w:ascii="Arial" w:hAnsi="Arial" w:cs="Arial"/>
          <w:b/>
          <w:bCs/>
          <w:lang w:val="cs-CZ"/>
        </w:rPr>
        <w:lastRenderedPageBreak/>
        <w:t>Investice do školního prostředí podporujícího zdraví, v němž je zakotvena výuka digitální gramotnosti</w:t>
      </w:r>
      <w:r w:rsidRPr="0096290A">
        <w:rPr>
          <w:rFonts w:ascii="Arial" w:hAnsi="Arial" w:cs="Arial"/>
          <w:lang w:val="cs-CZ"/>
        </w:rPr>
        <w:t>: Zavádě</w:t>
      </w:r>
      <w:r w:rsidR="002D00A7">
        <w:rPr>
          <w:rFonts w:ascii="Arial" w:hAnsi="Arial" w:cs="Arial"/>
          <w:lang w:val="cs-CZ"/>
        </w:rPr>
        <w:t>t</w:t>
      </w:r>
      <w:r w:rsidRPr="0096290A">
        <w:rPr>
          <w:rFonts w:ascii="Arial" w:hAnsi="Arial" w:cs="Arial"/>
          <w:lang w:val="cs-CZ"/>
        </w:rPr>
        <w:t xml:space="preserve"> ve školách programy založené na důkazech, které zahrnují zodpovědné používání sociálních médií, bezpečnost na internetu, dovednosti kritického myšlení a zdravé herní návyky.</w:t>
      </w:r>
    </w:p>
    <w:p w14:paraId="6298B8BA" w14:textId="707F4944" w:rsidR="0096290A" w:rsidRPr="0096290A" w:rsidRDefault="0096290A" w:rsidP="0096290A">
      <w:pPr>
        <w:pStyle w:val="ListParagraph"/>
        <w:numPr>
          <w:ilvl w:val="0"/>
          <w:numId w:val="9"/>
        </w:numPr>
        <w:spacing w:before="240" w:after="240"/>
        <w:rPr>
          <w:rFonts w:ascii="Arial" w:hAnsi="Arial" w:cs="Arial"/>
          <w:lang w:val="cs-CZ"/>
        </w:rPr>
      </w:pPr>
      <w:r w:rsidRPr="00E51756">
        <w:rPr>
          <w:rFonts w:ascii="Arial" w:hAnsi="Arial" w:cs="Arial"/>
          <w:b/>
          <w:bCs/>
          <w:lang w:val="cs-CZ"/>
        </w:rPr>
        <w:t>Zlepšení služeb v oblasti duševního zdraví</w:t>
      </w:r>
      <w:r w:rsidRPr="0096290A">
        <w:rPr>
          <w:rFonts w:ascii="Arial" w:hAnsi="Arial" w:cs="Arial"/>
          <w:lang w:val="cs-CZ"/>
        </w:rPr>
        <w:t>: Zaji</w:t>
      </w:r>
      <w:r>
        <w:rPr>
          <w:rFonts w:ascii="Arial" w:hAnsi="Arial" w:cs="Arial"/>
          <w:lang w:val="cs-CZ"/>
        </w:rPr>
        <w:t>štění</w:t>
      </w:r>
      <w:r w:rsidRPr="0096290A">
        <w:rPr>
          <w:rFonts w:ascii="Arial" w:hAnsi="Arial" w:cs="Arial"/>
          <w:lang w:val="cs-CZ"/>
        </w:rPr>
        <w:t xml:space="preserve"> přístup</w:t>
      </w:r>
      <w:r>
        <w:rPr>
          <w:rFonts w:ascii="Arial" w:hAnsi="Arial" w:cs="Arial"/>
          <w:lang w:val="cs-CZ"/>
        </w:rPr>
        <w:t>u</w:t>
      </w:r>
      <w:r w:rsidRPr="0096290A">
        <w:rPr>
          <w:rFonts w:ascii="Arial" w:hAnsi="Arial" w:cs="Arial"/>
          <w:lang w:val="cs-CZ"/>
        </w:rPr>
        <w:t xml:space="preserve"> k </w:t>
      </w:r>
      <w:r>
        <w:rPr>
          <w:rFonts w:ascii="Arial" w:hAnsi="Arial" w:cs="Arial"/>
          <w:lang w:val="cs-CZ"/>
        </w:rPr>
        <w:t>bezpečným</w:t>
      </w:r>
      <w:r w:rsidRPr="0096290A">
        <w:rPr>
          <w:rFonts w:ascii="Arial" w:hAnsi="Arial" w:cs="Arial"/>
          <w:lang w:val="cs-CZ"/>
        </w:rPr>
        <w:t>, neodsuzujícím a dostupným službám duševního zdraví, které mohou řešit problémy vyplývající z problematického používání digitálních technologií.</w:t>
      </w:r>
    </w:p>
    <w:p w14:paraId="17F3B11B" w14:textId="71395102" w:rsidR="0096290A" w:rsidRPr="0096290A" w:rsidRDefault="0096290A" w:rsidP="0096290A">
      <w:pPr>
        <w:pStyle w:val="ListParagraph"/>
        <w:numPr>
          <w:ilvl w:val="0"/>
          <w:numId w:val="9"/>
        </w:numPr>
        <w:spacing w:before="240" w:after="240"/>
        <w:rPr>
          <w:rFonts w:ascii="Arial" w:hAnsi="Arial" w:cs="Arial"/>
          <w:lang w:val="cs-CZ"/>
        </w:rPr>
      </w:pPr>
      <w:r w:rsidRPr="00E51756">
        <w:rPr>
          <w:rFonts w:ascii="Arial" w:hAnsi="Arial" w:cs="Arial"/>
          <w:b/>
          <w:bCs/>
          <w:lang w:val="cs-CZ"/>
        </w:rPr>
        <w:t>Podpora otevřeného dialogu</w:t>
      </w:r>
      <w:r w:rsidRPr="0096290A">
        <w:rPr>
          <w:rFonts w:ascii="Arial" w:hAnsi="Arial" w:cs="Arial"/>
          <w:lang w:val="cs-CZ"/>
        </w:rPr>
        <w:t>: rozhovory o digitální pohodě v rodinách, školách a komunitách, aby se snížila stigmatizace a zvýšila informovanost.</w:t>
      </w:r>
    </w:p>
    <w:p w14:paraId="7ADE241C" w14:textId="6E500F81" w:rsidR="0096290A" w:rsidRPr="0096290A" w:rsidRDefault="0096290A" w:rsidP="0096290A">
      <w:pPr>
        <w:pStyle w:val="ListParagraph"/>
        <w:numPr>
          <w:ilvl w:val="0"/>
          <w:numId w:val="9"/>
        </w:numPr>
        <w:spacing w:before="240" w:after="240"/>
        <w:rPr>
          <w:rFonts w:ascii="Arial" w:hAnsi="Arial" w:cs="Arial"/>
          <w:lang w:val="cs-CZ"/>
        </w:rPr>
      </w:pPr>
      <w:r w:rsidRPr="00E51756">
        <w:rPr>
          <w:rFonts w:ascii="Arial" w:hAnsi="Arial" w:cs="Arial"/>
          <w:b/>
          <w:bCs/>
          <w:lang w:val="cs-CZ"/>
        </w:rPr>
        <w:t>Školení pedagogů a poskytovatelů zdravotní péče</w:t>
      </w:r>
      <w:r w:rsidRPr="0096290A">
        <w:rPr>
          <w:rFonts w:ascii="Arial" w:hAnsi="Arial" w:cs="Arial"/>
          <w:lang w:val="cs-CZ"/>
        </w:rPr>
        <w:t>: Zaji</w:t>
      </w:r>
      <w:r>
        <w:rPr>
          <w:rFonts w:ascii="Arial" w:hAnsi="Arial" w:cs="Arial"/>
          <w:lang w:val="cs-CZ"/>
        </w:rPr>
        <w:t>štění</w:t>
      </w:r>
      <w:r w:rsidRPr="0096290A">
        <w:rPr>
          <w:rFonts w:ascii="Arial" w:hAnsi="Arial" w:cs="Arial"/>
          <w:lang w:val="cs-CZ"/>
        </w:rPr>
        <w:t xml:space="preserve"> specializované</w:t>
      </w:r>
      <w:r w:rsidR="002D00A7">
        <w:rPr>
          <w:rFonts w:ascii="Arial" w:hAnsi="Arial" w:cs="Arial"/>
          <w:lang w:val="cs-CZ"/>
        </w:rPr>
        <w:t>ho</w:t>
      </w:r>
      <w:r w:rsidRPr="0096290A">
        <w:rPr>
          <w:rFonts w:ascii="Arial" w:hAnsi="Arial" w:cs="Arial"/>
          <w:lang w:val="cs-CZ"/>
        </w:rPr>
        <w:t xml:space="preserve"> školení pro poskytování účinného a inkluzivního vzdělávání a podpory v oblasti digitální gramotnosti.</w:t>
      </w:r>
    </w:p>
    <w:p w14:paraId="41EBC2A8" w14:textId="219D963B" w:rsidR="0096290A" w:rsidRPr="0096290A" w:rsidRDefault="0096290A" w:rsidP="0096290A">
      <w:pPr>
        <w:pStyle w:val="ListParagraph"/>
        <w:numPr>
          <w:ilvl w:val="0"/>
          <w:numId w:val="9"/>
        </w:numPr>
        <w:spacing w:before="240" w:after="240"/>
        <w:rPr>
          <w:rFonts w:ascii="Arial" w:hAnsi="Arial" w:cs="Arial"/>
          <w:lang w:val="cs-CZ"/>
        </w:rPr>
      </w:pPr>
      <w:r w:rsidRPr="00E51756">
        <w:rPr>
          <w:rFonts w:ascii="Arial" w:hAnsi="Arial" w:cs="Arial"/>
          <w:b/>
          <w:bCs/>
          <w:lang w:val="cs-CZ"/>
        </w:rPr>
        <w:t>Prosaz</w:t>
      </w:r>
      <w:r w:rsidR="0098186A" w:rsidRPr="00E51756">
        <w:rPr>
          <w:rFonts w:ascii="Arial" w:hAnsi="Arial" w:cs="Arial"/>
          <w:b/>
          <w:bCs/>
          <w:lang w:val="cs-CZ"/>
        </w:rPr>
        <w:t>ování</w:t>
      </w:r>
      <w:r w:rsidRPr="00E51756">
        <w:rPr>
          <w:rFonts w:ascii="Arial" w:hAnsi="Arial" w:cs="Arial"/>
          <w:b/>
          <w:bCs/>
          <w:lang w:val="cs-CZ"/>
        </w:rPr>
        <w:t xml:space="preserve"> odpovědnost</w:t>
      </w:r>
      <w:r w:rsidR="0098186A" w:rsidRPr="00E51756">
        <w:rPr>
          <w:rFonts w:ascii="Arial" w:hAnsi="Arial" w:cs="Arial"/>
          <w:b/>
          <w:bCs/>
          <w:lang w:val="cs-CZ"/>
        </w:rPr>
        <w:t>i</w:t>
      </w:r>
      <w:r w:rsidRPr="00E51756">
        <w:rPr>
          <w:rFonts w:ascii="Arial" w:hAnsi="Arial" w:cs="Arial"/>
          <w:b/>
          <w:bCs/>
          <w:lang w:val="cs-CZ"/>
        </w:rPr>
        <w:t xml:space="preserve"> platforem</w:t>
      </w:r>
      <w:r w:rsidRPr="0096290A">
        <w:rPr>
          <w:rFonts w:ascii="Arial" w:hAnsi="Arial" w:cs="Arial"/>
          <w:lang w:val="cs-CZ"/>
        </w:rPr>
        <w:t>: Zaji</w:t>
      </w:r>
      <w:r w:rsidR="0098186A">
        <w:rPr>
          <w:rFonts w:ascii="Arial" w:hAnsi="Arial" w:cs="Arial"/>
          <w:lang w:val="cs-CZ"/>
        </w:rPr>
        <w:t>štění</w:t>
      </w:r>
      <w:r w:rsidRPr="0096290A">
        <w:rPr>
          <w:rFonts w:ascii="Arial" w:hAnsi="Arial" w:cs="Arial"/>
          <w:lang w:val="cs-CZ"/>
        </w:rPr>
        <w:t>, aby platformy sociálních médií prosazovaly věková omezení, a vytvoř</w:t>
      </w:r>
      <w:r w:rsidR="002D00A7">
        <w:rPr>
          <w:rFonts w:ascii="Arial" w:hAnsi="Arial" w:cs="Arial"/>
          <w:lang w:val="cs-CZ"/>
        </w:rPr>
        <w:t>ení</w:t>
      </w:r>
      <w:r w:rsidRPr="0096290A">
        <w:rPr>
          <w:rFonts w:ascii="Arial" w:hAnsi="Arial" w:cs="Arial"/>
          <w:lang w:val="cs-CZ"/>
        </w:rPr>
        <w:t xml:space="preserve"> regulační</w:t>
      </w:r>
      <w:r w:rsidR="002D00A7">
        <w:rPr>
          <w:rFonts w:ascii="Arial" w:hAnsi="Arial" w:cs="Arial"/>
          <w:lang w:val="cs-CZ"/>
        </w:rPr>
        <w:t>ho</w:t>
      </w:r>
      <w:r w:rsidRPr="0096290A">
        <w:rPr>
          <w:rFonts w:ascii="Arial" w:hAnsi="Arial" w:cs="Arial"/>
          <w:lang w:val="cs-CZ"/>
        </w:rPr>
        <w:t xml:space="preserve"> rám</w:t>
      </w:r>
      <w:r w:rsidR="002D00A7">
        <w:rPr>
          <w:rFonts w:ascii="Arial" w:hAnsi="Arial" w:cs="Arial"/>
          <w:lang w:val="cs-CZ"/>
        </w:rPr>
        <w:t>ce</w:t>
      </w:r>
      <w:r w:rsidRPr="0096290A">
        <w:rPr>
          <w:rFonts w:ascii="Arial" w:hAnsi="Arial" w:cs="Arial"/>
          <w:lang w:val="cs-CZ"/>
        </w:rPr>
        <w:t xml:space="preserve"> podporující</w:t>
      </w:r>
      <w:r w:rsidR="002D00A7">
        <w:rPr>
          <w:rFonts w:ascii="Arial" w:hAnsi="Arial" w:cs="Arial"/>
          <w:lang w:val="cs-CZ"/>
        </w:rPr>
        <w:t>ho</w:t>
      </w:r>
      <w:r w:rsidRPr="0096290A">
        <w:rPr>
          <w:rFonts w:ascii="Arial" w:hAnsi="Arial" w:cs="Arial"/>
          <w:lang w:val="cs-CZ"/>
        </w:rPr>
        <w:t xml:space="preserve"> odpovědné navrhování digitálních nástrojů pro mladé uživatele.</w:t>
      </w:r>
    </w:p>
    <w:p w14:paraId="0B944D47" w14:textId="35991D37" w:rsidR="00906AB0" w:rsidRPr="00BE71B6" w:rsidRDefault="001E3116">
      <w:pPr>
        <w:spacing w:before="240" w:after="240"/>
        <w:rPr>
          <w:rFonts w:ascii="Arial" w:hAnsi="Arial" w:cs="Arial"/>
          <w:lang w:val="cs-CZ"/>
        </w:rPr>
      </w:pPr>
      <w:r w:rsidRPr="001E3116">
        <w:rPr>
          <w:rFonts w:ascii="Arial" w:hAnsi="Arial" w:cs="Arial"/>
          <w:lang w:val="cs-CZ"/>
        </w:rPr>
        <w:t xml:space="preserve">„V konečném důsledku se snažíme mladým lidem poskytnout pevné základy pro život v našem digitálním věku, což si začínají uvědomovat jak společnosti působící v oblasti sociálních médií, tak mladí lidé na celém světě,“ řekl </w:t>
      </w:r>
      <w:proofErr w:type="spellStart"/>
      <w:r w:rsidRPr="001E3116">
        <w:rPr>
          <w:rFonts w:ascii="Arial" w:hAnsi="Arial" w:cs="Arial"/>
          <w:lang w:val="cs-CZ"/>
        </w:rPr>
        <w:t>Kluge</w:t>
      </w:r>
      <w:proofErr w:type="spellEnd"/>
      <w:r w:rsidRPr="001E3116">
        <w:rPr>
          <w:rFonts w:ascii="Arial" w:hAnsi="Arial" w:cs="Arial"/>
          <w:lang w:val="cs-CZ"/>
        </w:rPr>
        <w:t xml:space="preserve">. „Digitální gramotnost v kontextu vývoje a blahobytu dítěte, podložená správnými znalostmi ve správný čas spolu se správnými zdravotnickými a dalšími podpůrnými službami, jsou rozhodující. Tím, že dospívajícím umožníme činit informovaná rozhodnutí o jejich online aktivitách a vyvážit jejich online a </w:t>
      </w:r>
      <w:proofErr w:type="spellStart"/>
      <w:r w:rsidRPr="001E3116">
        <w:rPr>
          <w:rFonts w:ascii="Arial" w:hAnsi="Arial" w:cs="Arial"/>
          <w:lang w:val="cs-CZ"/>
        </w:rPr>
        <w:t>offline</w:t>
      </w:r>
      <w:proofErr w:type="spellEnd"/>
      <w:r w:rsidRPr="001E3116">
        <w:rPr>
          <w:rFonts w:ascii="Arial" w:hAnsi="Arial" w:cs="Arial"/>
          <w:lang w:val="cs-CZ"/>
        </w:rPr>
        <w:t xml:space="preserve"> svět, nakonec pomůžeme ochránit a zlepšit jejich celkovou pohodu. To má zásadní význam pro zajištění zdravější a vyváženější digitální budoucnosti pro všechny komunity, společnosti a země.“</w:t>
      </w:r>
    </w:p>
    <w:p w14:paraId="0B944D48" w14:textId="77777777" w:rsidR="00906AB0" w:rsidRPr="001A49DD" w:rsidRDefault="00251E92">
      <w:pPr>
        <w:spacing w:before="240" w:after="240"/>
        <w:rPr>
          <w:rFonts w:ascii="Arial" w:hAnsi="Arial" w:cs="Arial"/>
          <w:lang w:val="cs-CZ"/>
        </w:rPr>
      </w:pPr>
      <w:r>
        <w:rPr>
          <w:rFonts w:ascii="Arial" w:hAnsi="Arial" w:cs="Arial"/>
          <w:lang w:val="cs-CZ"/>
        </w:rPr>
        <w:pict w14:anchorId="0B944D87">
          <v:rect id="_x0000_i1025" style="width:0;height:1.5pt" o:hralign="center" o:hrstd="t" o:hr="t" fillcolor="#a0a0a0" stroked="f"/>
        </w:pict>
      </w:r>
    </w:p>
    <w:p w14:paraId="0B944D49" w14:textId="1F25D793" w:rsidR="00906AB0" w:rsidRPr="001A49DD" w:rsidRDefault="00E4450A" w:rsidP="001F32F3">
      <w:pPr>
        <w:spacing w:before="240" w:after="0"/>
        <w:rPr>
          <w:rFonts w:ascii="Arial" w:hAnsi="Arial" w:cs="Arial"/>
          <w:b/>
          <w:lang w:val="cs-CZ"/>
        </w:rPr>
      </w:pPr>
      <w:r>
        <w:rPr>
          <w:rFonts w:ascii="Arial" w:hAnsi="Arial" w:cs="Arial"/>
          <w:b/>
          <w:lang w:val="cs-CZ"/>
        </w:rPr>
        <w:t>Pro editory</w:t>
      </w:r>
    </w:p>
    <w:p w14:paraId="18EE2AD8" w14:textId="0E37EA7C" w:rsidR="00830EA2" w:rsidRPr="00830EA2" w:rsidRDefault="00E51756" w:rsidP="001F32F3">
      <w:pPr>
        <w:spacing w:after="240"/>
        <w:rPr>
          <w:rFonts w:ascii="Arial" w:hAnsi="Arial" w:cs="Arial"/>
          <w:color w:val="1155CC"/>
          <w:u w:val="single"/>
          <w:lang w:val="cs-CZ"/>
        </w:rPr>
      </w:pPr>
      <w:r w:rsidRPr="00E51756">
        <w:rPr>
          <w:rFonts w:ascii="Arial" w:hAnsi="Arial" w:cs="Arial"/>
          <w:lang w:val="cs-CZ"/>
        </w:rPr>
        <w:t xml:space="preserve">Celá zpráva je k dispozici ke stažení na adrese </w:t>
      </w:r>
      <w:hyperlink r:id="rId13" w:history="1">
        <w:r w:rsidR="009E6BBD" w:rsidRPr="00F84D6C">
          <w:rPr>
            <w:rStyle w:val="Hyperlink"/>
            <w:rFonts w:ascii="Arial" w:hAnsi="Arial" w:cs="Arial"/>
            <w:lang w:val="cs-CZ"/>
          </w:rPr>
          <w:t>https://bit.ly/hbsc-vol6</w:t>
        </w:r>
      </w:hyperlink>
      <w:r w:rsidR="009E6BBD">
        <w:rPr>
          <w:rFonts w:ascii="Arial" w:hAnsi="Arial" w:cs="Arial"/>
          <w:lang w:val="cs-CZ"/>
        </w:rPr>
        <w:t xml:space="preserve">. </w:t>
      </w:r>
      <w:r w:rsidR="00196F82" w:rsidRPr="00196F82">
        <w:rPr>
          <w:rFonts w:ascii="Arial" w:hAnsi="Arial" w:cs="Arial"/>
          <w:lang w:val="cs-CZ"/>
        </w:rPr>
        <w:t xml:space="preserve">Údaje pro jednotlivé země, které nabízejí možnosti lokálního vykazování a srovnávání, jsou k dispozici na adrese </w:t>
      </w:r>
      <w:hyperlink r:id="rId14">
        <w:r w:rsidR="005915FD" w:rsidRPr="001A49DD">
          <w:rPr>
            <w:rFonts w:ascii="Arial" w:hAnsi="Arial" w:cs="Arial"/>
            <w:color w:val="1155CC"/>
            <w:u w:val="single"/>
            <w:lang w:val="cs-CZ"/>
          </w:rPr>
          <w:t>https://drive.google.com/drive/folders/1H2lQKqzvvGZ-FwyDmt8yTWxTjLzcZpHK</w:t>
        </w:r>
      </w:hyperlink>
      <w:r w:rsidR="00830EA2">
        <w:rPr>
          <w:rFonts w:ascii="Arial" w:hAnsi="Arial" w:cs="Arial"/>
          <w:lang w:val="cs-CZ"/>
        </w:rPr>
        <w:t xml:space="preserve">. </w:t>
      </w:r>
      <w:r w:rsidR="00830EA2" w:rsidRPr="00830EA2">
        <w:rPr>
          <w:rFonts w:ascii="Arial" w:hAnsi="Arial" w:cs="Arial"/>
          <w:lang w:val="cs-CZ"/>
        </w:rPr>
        <w:t xml:space="preserve">Další reporty najdete na </w:t>
      </w:r>
      <w:hyperlink r:id="rId15" w:history="1">
        <w:r w:rsidR="00830EA2" w:rsidRPr="00F84D6C">
          <w:rPr>
            <w:rStyle w:val="Hyperlink"/>
            <w:rFonts w:ascii="Arial" w:hAnsi="Arial" w:cs="Arial"/>
            <w:lang w:val="cs-CZ"/>
          </w:rPr>
          <w:t>https://hbsc.org/publications/reports/</w:t>
        </w:r>
      </w:hyperlink>
      <w:r w:rsidR="00830EA2">
        <w:rPr>
          <w:rFonts w:ascii="Arial" w:hAnsi="Arial" w:cs="Arial"/>
          <w:lang w:val="cs-CZ"/>
        </w:rPr>
        <w:t xml:space="preserve">. </w:t>
      </w:r>
    </w:p>
    <w:p w14:paraId="0B944D4C" w14:textId="3EFC64A6" w:rsidR="00906AB0" w:rsidRPr="001A49DD" w:rsidRDefault="00196F82" w:rsidP="001F32F3">
      <w:pPr>
        <w:spacing w:before="240" w:after="0"/>
        <w:rPr>
          <w:rFonts w:ascii="Arial" w:hAnsi="Arial" w:cs="Arial"/>
          <w:b/>
          <w:lang w:val="cs-CZ"/>
        </w:rPr>
      </w:pPr>
      <w:r>
        <w:rPr>
          <w:rFonts w:ascii="Arial" w:hAnsi="Arial" w:cs="Arial"/>
          <w:b/>
          <w:lang w:val="cs-CZ"/>
        </w:rPr>
        <w:t>Kontakt pro média</w:t>
      </w:r>
    </w:p>
    <w:p w14:paraId="12DDCCA9" w14:textId="338885FD" w:rsidR="00196F82" w:rsidRDefault="00196F82" w:rsidP="00D333D3">
      <w:pPr>
        <w:numPr>
          <w:ilvl w:val="0"/>
          <w:numId w:val="1"/>
        </w:numPr>
        <w:spacing w:after="0"/>
        <w:rPr>
          <w:rFonts w:ascii="Arial" w:hAnsi="Arial" w:cs="Arial"/>
          <w:lang w:val="cs-CZ"/>
        </w:rPr>
      </w:pPr>
      <w:r>
        <w:rPr>
          <w:rFonts w:ascii="Arial" w:hAnsi="Arial" w:cs="Arial"/>
          <w:lang w:val="cs-CZ"/>
        </w:rPr>
        <w:t xml:space="preserve">Lukas Blinka, Institut pro psychologický výzkum, Masarykova univerzita, </w:t>
      </w:r>
      <w:hyperlink r:id="rId16" w:history="1">
        <w:r w:rsidRPr="00F84D6C">
          <w:rPr>
            <w:rStyle w:val="Hyperlink"/>
            <w:rFonts w:ascii="Arial" w:hAnsi="Arial" w:cs="Arial"/>
            <w:lang w:val="cs-CZ"/>
          </w:rPr>
          <w:t>blinka@fss.muni.cz</w:t>
        </w:r>
      </w:hyperlink>
      <w:r>
        <w:rPr>
          <w:rFonts w:ascii="Arial" w:hAnsi="Arial" w:cs="Arial"/>
          <w:lang w:val="cs-CZ"/>
        </w:rPr>
        <w:t xml:space="preserve">, </w:t>
      </w:r>
      <w:r w:rsidR="00E1322B">
        <w:rPr>
          <w:rFonts w:ascii="Arial" w:hAnsi="Arial" w:cs="Arial"/>
          <w:lang w:val="cs-CZ"/>
        </w:rPr>
        <w:t>+420</w:t>
      </w:r>
      <w:r w:rsidR="00A81DEC">
        <w:rPr>
          <w:rFonts w:ascii="Arial" w:hAnsi="Arial" w:cs="Arial"/>
          <w:lang w:val="cs-CZ"/>
        </w:rPr>
        <w:t xml:space="preserve"> 608 072 497 </w:t>
      </w:r>
    </w:p>
    <w:p w14:paraId="7335AC08" w14:textId="77777777" w:rsidR="00E1322B" w:rsidRDefault="00E1322B" w:rsidP="001F32F3">
      <w:pPr>
        <w:numPr>
          <w:ilvl w:val="0"/>
          <w:numId w:val="1"/>
        </w:numPr>
        <w:spacing w:after="0"/>
      </w:pPr>
      <w:r>
        <w:t xml:space="preserve">Joseph Hancock, Research Communications Officer, Health Behaviour in School-aged Children study, </w:t>
      </w:r>
      <w:hyperlink r:id="rId17">
        <w:r>
          <w:rPr>
            <w:color w:val="1155CC"/>
            <w:u w:val="single"/>
          </w:rPr>
          <w:t>joseph.hancock@hbsc.org</w:t>
        </w:r>
      </w:hyperlink>
      <w:r>
        <w:t>.</w:t>
      </w:r>
    </w:p>
    <w:p w14:paraId="6D15A36B" w14:textId="77777777" w:rsidR="00E1322B" w:rsidRDefault="00E1322B" w:rsidP="00E1322B">
      <w:pPr>
        <w:numPr>
          <w:ilvl w:val="0"/>
          <w:numId w:val="1"/>
        </w:numPr>
        <w:spacing w:after="0"/>
      </w:pPr>
      <w:proofErr w:type="spellStart"/>
      <w:r>
        <w:t>Ramy</w:t>
      </w:r>
      <w:proofErr w:type="spellEnd"/>
      <w:r>
        <w:t xml:space="preserve"> </w:t>
      </w:r>
      <w:proofErr w:type="spellStart"/>
      <w:r>
        <w:t>Srour</w:t>
      </w:r>
      <w:proofErr w:type="spellEnd"/>
      <w:r>
        <w:t xml:space="preserve">, Communications Officer, World Health Organization Regional Office for Europe, </w:t>
      </w:r>
      <w:hyperlink r:id="rId18">
        <w:r>
          <w:rPr>
            <w:color w:val="1155CC"/>
            <w:u w:val="single"/>
          </w:rPr>
          <w:t>srourr@who.int</w:t>
        </w:r>
      </w:hyperlink>
      <w:r>
        <w:t>.</w:t>
      </w:r>
    </w:p>
    <w:p w14:paraId="0B944D4F" w14:textId="4B8A474A" w:rsidR="00906AB0" w:rsidRPr="001A49DD" w:rsidRDefault="005915FD">
      <w:pPr>
        <w:numPr>
          <w:ilvl w:val="0"/>
          <w:numId w:val="1"/>
        </w:numPr>
        <w:spacing w:after="240"/>
        <w:rPr>
          <w:rFonts w:ascii="Arial" w:hAnsi="Arial" w:cs="Arial"/>
          <w:lang w:val="cs-CZ"/>
        </w:rPr>
      </w:pPr>
      <w:r w:rsidRPr="001A49DD">
        <w:rPr>
          <w:rFonts w:ascii="Arial" w:hAnsi="Arial" w:cs="Arial"/>
          <w:lang w:val="cs-CZ"/>
        </w:rPr>
        <w:t>WHO/</w:t>
      </w:r>
      <w:proofErr w:type="spellStart"/>
      <w:r w:rsidRPr="001A49DD">
        <w:rPr>
          <w:rFonts w:ascii="Arial" w:hAnsi="Arial" w:cs="Arial"/>
          <w:lang w:val="cs-CZ"/>
        </w:rPr>
        <w:t>Europe</w:t>
      </w:r>
      <w:proofErr w:type="spellEnd"/>
      <w:r w:rsidRPr="001A49DD">
        <w:rPr>
          <w:rFonts w:ascii="Arial" w:hAnsi="Arial" w:cs="Arial"/>
          <w:lang w:val="cs-CZ"/>
        </w:rPr>
        <w:t xml:space="preserve"> Media Team: </w:t>
      </w:r>
      <w:hyperlink r:id="rId19">
        <w:r w:rsidRPr="001A49DD">
          <w:rPr>
            <w:rFonts w:ascii="Arial" w:hAnsi="Arial" w:cs="Arial"/>
            <w:color w:val="1155CC"/>
            <w:u w:val="single"/>
            <w:lang w:val="cs-CZ"/>
          </w:rPr>
          <w:t>eupress@who.int</w:t>
        </w:r>
      </w:hyperlink>
      <w:r w:rsidRPr="001A49DD">
        <w:rPr>
          <w:rFonts w:ascii="Arial" w:hAnsi="Arial" w:cs="Arial"/>
          <w:lang w:val="cs-CZ"/>
        </w:rPr>
        <w:t>.</w:t>
      </w:r>
    </w:p>
    <w:p w14:paraId="0B944D50" w14:textId="3429D426" w:rsidR="00906AB0" w:rsidRPr="001A49DD" w:rsidRDefault="006C7CD3" w:rsidP="001F32F3">
      <w:pPr>
        <w:spacing w:before="240" w:after="0"/>
        <w:rPr>
          <w:rFonts w:ascii="Arial" w:hAnsi="Arial" w:cs="Arial"/>
          <w:b/>
          <w:lang w:val="cs-CZ"/>
        </w:rPr>
      </w:pPr>
      <w:r>
        <w:rPr>
          <w:rFonts w:ascii="Arial" w:hAnsi="Arial" w:cs="Arial"/>
          <w:b/>
          <w:lang w:val="cs-CZ"/>
        </w:rPr>
        <w:t>O studii HBSC</w:t>
      </w:r>
    </w:p>
    <w:p w14:paraId="0B944D52" w14:textId="33850546" w:rsidR="00906AB0" w:rsidRPr="001A49DD" w:rsidRDefault="006C7CD3">
      <w:pPr>
        <w:spacing w:before="240" w:after="240"/>
        <w:rPr>
          <w:rFonts w:ascii="Arial" w:hAnsi="Arial" w:cs="Arial"/>
          <w:lang w:val="cs-CZ"/>
        </w:rPr>
      </w:pPr>
      <w:r w:rsidRPr="006C7CD3">
        <w:rPr>
          <w:rFonts w:ascii="Arial" w:hAnsi="Arial" w:cs="Arial"/>
          <w:lang w:val="cs-CZ"/>
        </w:rPr>
        <w:t>Studie HBSC je mezinárodní výzkumný projekt prováděný ve spolupráci s regionální kanceláří WHO pro Evropu. Shromažďuje údaje o zdravotním chování, pohodě a sociálním prostředí dospívajících ve věku 11, 13 a 15 let, které sami uvádějí. </w:t>
      </w:r>
      <w:r w:rsidR="00251E92">
        <w:rPr>
          <w:rFonts w:ascii="Arial" w:hAnsi="Arial" w:cs="Arial"/>
          <w:lang w:val="cs-CZ"/>
        </w:rPr>
        <w:pict w14:anchorId="0B944D88">
          <v:rect id="_x0000_i1026" style="width:0;height:1.5pt" o:hralign="center" o:hrstd="t" o:hr="t" fillcolor="#a0a0a0" stroked="f"/>
        </w:pict>
      </w:r>
    </w:p>
    <w:p w14:paraId="0B944D53" w14:textId="35547104" w:rsidR="00906AB0" w:rsidRPr="001A49DD" w:rsidRDefault="006C7CD3">
      <w:pPr>
        <w:spacing w:before="240" w:after="240"/>
        <w:rPr>
          <w:rFonts w:ascii="Arial" w:hAnsi="Arial" w:cs="Arial"/>
          <w:b/>
          <w:lang w:val="cs-CZ"/>
        </w:rPr>
      </w:pPr>
      <w:r w:rsidRPr="006C7CD3">
        <w:rPr>
          <w:rFonts w:ascii="Arial" w:hAnsi="Arial" w:cs="Arial"/>
          <w:b/>
          <w:lang w:val="cs-CZ"/>
        </w:rPr>
        <w:t>Další klíčová zjištění</w:t>
      </w:r>
      <w:r>
        <w:rPr>
          <w:rFonts w:ascii="Arial" w:hAnsi="Arial" w:cs="Arial"/>
          <w:b/>
          <w:lang w:val="cs-CZ"/>
        </w:rPr>
        <w:t>:</w:t>
      </w:r>
      <w:r w:rsidRPr="006C7CD3">
        <w:rPr>
          <w:rFonts w:ascii="Arial" w:hAnsi="Arial" w:cs="Arial"/>
          <w:b/>
          <w:lang w:val="cs-CZ"/>
        </w:rPr>
        <w:t xml:space="preserve"> </w:t>
      </w:r>
    </w:p>
    <w:p w14:paraId="4F2202F3" w14:textId="77777777" w:rsidR="00426485" w:rsidRPr="00C606BB" w:rsidRDefault="00426485" w:rsidP="00426485">
      <w:pPr>
        <w:spacing w:before="240" w:after="240"/>
        <w:rPr>
          <w:rFonts w:ascii="Arial" w:hAnsi="Arial" w:cs="Arial"/>
          <w:b/>
          <w:bCs/>
          <w:lang w:val="cs-CZ"/>
        </w:rPr>
      </w:pPr>
      <w:r w:rsidRPr="00C606BB">
        <w:rPr>
          <w:rFonts w:ascii="Arial" w:hAnsi="Arial" w:cs="Arial"/>
          <w:b/>
          <w:bCs/>
          <w:lang w:val="cs-CZ"/>
        </w:rPr>
        <w:t xml:space="preserve">Užívání sociálních médií </w:t>
      </w:r>
    </w:p>
    <w:p w14:paraId="0B944D55" w14:textId="4AB58A8C" w:rsidR="00906AB0" w:rsidRDefault="00426485" w:rsidP="00426485">
      <w:pPr>
        <w:pStyle w:val="ListParagraph"/>
        <w:numPr>
          <w:ilvl w:val="0"/>
          <w:numId w:val="5"/>
        </w:numPr>
        <w:spacing w:before="240" w:after="240"/>
        <w:rPr>
          <w:rFonts w:ascii="Arial" w:hAnsi="Arial" w:cs="Arial"/>
          <w:lang w:val="cs-CZ"/>
        </w:rPr>
      </w:pPr>
      <w:r>
        <w:rPr>
          <w:rFonts w:ascii="Arial" w:hAnsi="Arial" w:cs="Arial"/>
          <w:lang w:val="cs-CZ"/>
        </w:rPr>
        <w:lastRenderedPageBreak/>
        <w:t>Problematické užívání sociálních médií</w:t>
      </w:r>
    </w:p>
    <w:p w14:paraId="2645387B" w14:textId="374F3989" w:rsidR="00A411FB" w:rsidRPr="00A411FB" w:rsidRDefault="00A411FB" w:rsidP="00A411FB">
      <w:pPr>
        <w:pStyle w:val="ListParagraph"/>
        <w:numPr>
          <w:ilvl w:val="1"/>
          <w:numId w:val="5"/>
        </w:numPr>
        <w:spacing w:before="240" w:after="240"/>
        <w:rPr>
          <w:rFonts w:ascii="Arial" w:hAnsi="Arial" w:cs="Arial"/>
          <w:lang w:val="cs-CZ"/>
        </w:rPr>
      </w:pPr>
      <w:r w:rsidRPr="00A411FB">
        <w:rPr>
          <w:rFonts w:ascii="Arial" w:hAnsi="Arial" w:cs="Arial"/>
          <w:lang w:val="cs-CZ"/>
        </w:rPr>
        <w:t xml:space="preserve">Nejvyšší mezi třináctiletými (12 %). </w:t>
      </w:r>
    </w:p>
    <w:p w14:paraId="48948C84" w14:textId="6A7BAA3A" w:rsidR="00A411FB" w:rsidRPr="00A411FB" w:rsidRDefault="00A411FB" w:rsidP="00A411FB">
      <w:pPr>
        <w:pStyle w:val="ListParagraph"/>
        <w:numPr>
          <w:ilvl w:val="1"/>
          <w:numId w:val="5"/>
        </w:numPr>
        <w:spacing w:before="240" w:after="240"/>
        <w:rPr>
          <w:rFonts w:ascii="Arial" w:hAnsi="Arial" w:cs="Arial"/>
          <w:lang w:val="cs-CZ"/>
        </w:rPr>
      </w:pPr>
      <w:r w:rsidRPr="00A411FB">
        <w:rPr>
          <w:rFonts w:ascii="Arial" w:hAnsi="Arial" w:cs="Arial"/>
          <w:lang w:val="cs-CZ"/>
        </w:rPr>
        <w:t>Rozdíl mezi pohlavími se s věkem zvětšuje.</w:t>
      </w:r>
    </w:p>
    <w:p w14:paraId="05DF88E3" w14:textId="147E43C8" w:rsidR="00A411FB" w:rsidRPr="00A411FB" w:rsidRDefault="00A411FB" w:rsidP="00A411FB">
      <w:pPr>
        <w:pStyle w:val="ListParagraph"/>
        <w:numPr>
          <w:ilvl w:val="1"/>
          <w:numId w:val="5"/>
        </w:numPr>
        <w:spacing w:before="240" w:after="240"/>
        <w:rPr>
          <w:rFonts w:ascii="Arial" w:hAnsi="Arial" w:cs="Arial"/>
          <w:lang w:val="cs-CZ"/>
        </w:rPr>
      </w:pPr>
      <w:r w:rsidRPr="00A411FB">
        <w:rPr>
          <w:rFonts w:ascii="Arial" w:hAnsi="Arial" w:cs="Arial"/>
          <w:lang w:val="cs-CZ"/>
        </w:rPr>
        <w:t>Nejvyšší výskyt v Rumunsku (22 %), nejnižší v Nizozemsku (5 %).</w:t>
      </w:r>
    </w:p>
    <w:p w14:paraId="6B931346" w14:textId="1D0C7BB5" w:rsidR="00A411FB" w:rsidRPr="00A411FB" w:rsidRDefault="00A411FB" w:rsidP="00A411FB">
      <w:pPr>
        <w:pStyle w:val="ListParagraph"/>
        <w:numPr>
          <w:ilvl w:val="1"/>
          <w:numId w:val="5"/>
        </w:numPr>
        <w:spacing w:before="240" w:after="240"/>
        <w:rPr>
          <w:rFonts w:ascii="Arial" w:hAnsi="Arial" w:cs="Arial"/>
          <w:lang w:val="cs-CZ"/>
        </w:rPr>
      </w:pPr>
      <w:r w:rsidRPr="00A411FB">
        <w:rPr>
          <w:rFonts w:ascii="Arial" w:hAnsi="Arial" w:cs="Arial"/>
          <w:lang w:val="cs-CZ"/>
        </w:rPr>
        <w:t>U 13letých dívek došlo od roku 2018 k nárůstu o šest procentních bodů (z 10 % na 16 %).</w:t>
      </w:r>
    </w:p>
    <w:p w14:paraId="3CA539E5" w14:textId="2B528421" w:rsidR="00A411FB" w:rsidRPr="00A411FB" w:rsidRDefault="00A411FB" w:rsidP="00A411FB">
      <w:pPr>
        <w:pStyle w:val="ListParagraph"/>
        <w:numPr>
          <w:ilvl w:val="1"/>
          <w:numId w:val="5"/>
        </w:numPr>
        <w:spacing w:before="240" w:after="240"/>
        <w:rPr>
          <w:rFonts w:ascii="Arial" w:hAnsi="Arial" w:cs="Arial"/>
          <w:lang w:val="cs-CZ"/>
        </w:rPr>
      </w:pPr>
      <w:r w:rsidRPr="00A411FB">
        <w:rPr>
          <w:rFonts w:ascii="Arial" w:hAnsi="Arial" w:cs="Arial"/>
          <w:lang w:val="cs-CZ"/>
        </w:rPr>
        <w:t>Rozdíly mezi socioekonomickými skupinami byly minimální.</w:t>
      </w:r>
    </w:p>
    <w:p w14:paraId="0B944D5B" w14:textId="10C12782" w:rsidR="00906AB0" w:rsidRPr="001A49DD" w:rsidRDefault="00633A0C">
      <w:pPr>
        <w:numPr>
          <w:ilvl w:val="0"/>
          <w:numId w:val="5"/>
        </w:numPr>
        <w:spacing w:after="0"/>
        <w:rPr>
          <w:rFonts w:ascii="Arial" w:hAnsi="Arial" w:cs="Arial"/>
          <w:lang w:val="cs-CZ"/>
        </w:rPr>
      </w:pPr>
      <w:r>
        <w:rPr>
          <w:rFonts w:ascii="Arial" w:hAnsi="Arial" w:cs="Arial"/>
          <w:lang w:val="cs-CZ"/>
        </w:rPr>
        <w:t>Stálý online kontakt</w:t>
      </w:r>
    </w:p>
    <w:p w14:paraId="74AC323F" w14:textId="717E8390" w:rsidR="00633A0C" w:rsidRPr="00633A0C" w:rsidRDefault="00633A0C" w:rsidP="00633A0C">
      <w:pPr>
        <w:pStyle w:val="ListParagraph"/>
        <w:numPr>
          <w:ilvl w:val="1"/>
          <w:numId w:val="5"/>
        </w:numPr>
        <w:spacing w:after="0"/>
        <w:rPr>
          <w:rFonts w:ascii="Arial" w:hAnsi="Arial" w:cs="Arial"/>
          <w:lang w:val="cs-CZ"/>
        </w:rPr>
      </w:pPr>
      <w:r w:rsidRPr="00633A0C">
        <w:rPr>
          <w:rFonts w:ascii="Arial" w:hAnsi="Arial" w:cs="Arial"/>
          <w:lang w:val="cs-CZ"/>
        </w:rPr>
        <w:t>36 % mladých lidí uvádí stálý kontakt s přáteli na internetu.</w:t>
      </w:r>
    </w:p>
    <w:p w14:paraId="0D107E8B" w14:textId="5D8CE954" w:rsidR="00633A0C" w:rsidRPr="00633A0C" w:rsidRDefault="00633A0C" w:rsidP="00633A0C">
      <w:pPr>
        <w:pStyle w:val="ListParagraph"/>
        <w:numPr>
          <w:ilvl w:val="1"/>
          <w:numId w:val="5"/>
        </w:numPr>
        <w:spacing w:after="0"/>
        <w:rPr>
          <w:rFonts w:ascii="Arial" w:hAnsi="Arial" w:cs="Arial"/>
          <w:lang w:val="cs-CZ"/>
        </w:rPr>
      </w:pPr>
      <w:r w:rsidRPr="00633A0C">
        <w:rPr>
          <w:rFonts w:ascii="Arial" w:hAnsi="Arial" w:cs="Arial"/>
          <w:lang w:val="cs-CZ"/>
        </w:rPr>
        <w:t>S věkem se zvyšuje, z 31 % ve věku 11 let na 39 % ve věku 15 let.</w:t>
      </w:r>
    </w:p>
    <w:p w14:paraId="4CD36473" w14:textId="395D9ACA" w:rsidR="00633A0C" w:rsidRPr="00633A0C" w:rsidRDefault="00633A0C" w:rsidP="00633A0C">
      <w:pPr>
        <w:pStyle w:val="ListParagraph"/>
        <w:numPr>
          <w:ilvl w:val="1"/>
          <w:numId w:val="5"/>
        </w:numPr>
        <w:spacing w:after="0"/>
        <w:rPr>
          <w:rFonts w:ascii="Arial" w:hAnsi="Arial" w:cs="Arial"/>
          <w:lang w:val="cs-CZ"/>
        </w:rPr>
      </w:pPr>
      <w:r w:rsidRPr="00633A0C">
        <w:rPr>
          <w:rFonts w:ascii="Arial" w:hAnsi="Arial" w:cs="Arial"/>
          <w:lang w:val="cs-CZ"/>
        </w:rPr>
        <w:t>Nejvyšší míra mezi patnáctiletými dívkami (44 %).</w:t>
      </w:r>
    </w:p>
    <w:p w14:paraId="64C17454" w14:textId="37AEFAFB" w:rsidR="00633A0C" w:rsidRPr="00633A0C" w:rsidRDefault="00633A0C" w:rsidP="00633A0C">
      <w:pPr>
        <w:pStyle w:val="ListParagraph"/>
        <w:numPr>
          <w:ilvl w:val="1"/>
          <w:numId w:val="5"/>
        </w:numPr>
        <w:spacing w:after="0"/>
        <w:rPr>
          <w:rFonts w:ascii="Arial" w:hAnsi="Arial" w:cs="Arial"/>
          <w:lang w:val="cs-CZ"/>
        </w:rPr>
      </w:pPr>
      <w:r w:rsidRPr="00633A0C">
        <w:rPr>
          <w:rFonts w:ascii="Arial" w:hAnsi="Arial" w:cs="Arial"/>
          <w:lang w:val="cs-CZ"/>
        </w:rPr>
        <w:t>Dívky uváděly vyšší míru nepřetržitého online kontaktu s blízkými přáteli než chlapci, s výjimkou 11letých.</w:t>
      </w:r>
    </w:p>
    <w:p w14:paraId="6C98B193" w14:textId="07CB205F" w:rsidR="00633A0C" w:rsidRPr="00633A0C" w:rsidRDefault="00633A0C" w:rsidP="00633A0C">
      <w:pPr>
        <w:pStyle w:val="ListParagraph"/>
        <w:numPr>
          <w:ilvl w:val="1"/>
          <w:numId w:val="5"/>
        </w:numPr>
        <w:spacing w:after="0"/>
        <w:rPr>
          <w:rFonts w:ascii="Arial" w:hAnsi="Arial" w:cs="Arial"/>
          <w:lang w:val="cs-CZ"/>
        </w:rPr>
      </w:pPr>
      <w:r w:rsidRPr="00633A0C">
        <w:rPr>
          <w:rFonts w:ascii="Arial" w:hAnsi="Arial" w:cs="Arial"/>
          <w:lang w:val="cs-CZ"/>
        </w:rPr>
        <w:t>Nepřetržitý online kontakt s blízkými přáteli uvedlo 26 % z nich.</w:t>
      </w:r>
    </w:p>
    <w:p w14:paraId="38E1464B" w14:textId="4E02A145" w:rsidR="00633A0C" w:rsidRPr="00633A0C" w:rsidRDefault="00633A0C" w:rsidP="00633A0C">
      <w:pPr>
        <w:pStyle w:val="ListParagraph"/>
        <w:numPr>
          <w:ilvl w:val="1"/>
          <w:numId w:val="5"/>
        </w:numPr>
        <w:spacing w:after="0"/>
        <w:rPr>
          <w:rFonts w:ascii="Arial" w:hAnsi="Arial" w:cs="Arial"/>
          <w:lang w:val="cs-CZ"/>
        </w:rPr>
      </w:pPr>
      <w:r w:rsidRPr="00633A0C">
        <w:rPr>
          <w:rFonts w:ascii="Arial" w:hAnsi="Arial" w:cs="Arial"/>
          <w:lang w:val="cs-CZ"/>
        </w:rPr>
        <w:t>Nepřetržitý kontakt s přáteli, s nimiž se seznámil</w:t>
      </w:r>
      <w:r w:rsidR="002D00A7">
        <w:rPr>
          <w:rFonts w:ascii="Arial" w:hAnsi="Arial" w:cs="Arial"/>
          <w:lang w:val="cs-CZ"/>
        </w:rPr>
        <w:t>i</w:t>
      </w:r>
      <w:r w:rsidRPr="00633A0C">
        <w:rPr>
          <w:rFonts w:ascii="Arial" w:hAnsi="Arial" w:cs="Arial"/>
          <w:lang w:val="cs-CZ"/>
        </w:rPr>
        <w:t xml:space="preserve"> online, uvedlo 7 % respondentů.</w:t>
      </w:r>
    </w:p>
    <w:p w14:paraId="355288AF" w14:textId="6560DC3A" w:rsidR="00633A0C" w:rsidRPr="00633A0C" w:rsidRDefault="00633A0C" w:rsidP="00633A0C">
      <w:pPr>
        <w:pStyle w:val="ListParagraph"/>
        <w:numPr>
          <w:ilvl w:val="1"/>
          <w:numId w:val="5"/>
        </w:numPr>
        <w:spacing w:after="0"/>
        <w:rPr>
          <w:rFonts w:ascii="Arial" w:hAnsi="Arial" w:cs="Arial"/>
          <w:lang w:val="cs-CZ"/>
        </w:rPr>
      </w:pPr>
      <w:r w:rsidRPr="00633A0C">
        <w:rPr>
          <w:rFonts w:ascii="Arial" w:hAnsi="Arial" w:cs="Arial"/>
          <w:lang w:val="cs-CZ"/>
        </w:rPr>
        <w:t>Nejvyšší prevalence v Portugalsku (52 %) a Srbsku (50 %), nejnižší prevalence v Tádžikistánu (22 %).</w:t>
      </w:r>
    </w:p>
    <w:p w14:paraId="1638EA70" w14:textId="65D0F6A5" w:rsidR="00633A0C" w:rsidRPr="00633A0C" w:rsidRDefault="00633A0C" w:rsidP="00633A0C">
      <w:pPr>
        <w:pStyle w:val="ListParagraph"/>
        <w:numPr>
          <w:ilvl w:val="1"/>
          <w:numId w:val="5"/>
        </w:numPr>
        <w:spacing w:after="0"/>
        <w:rPr>
          <w:rFonts w:ascii="Arial" w:hAnsi="Arial" w:cs="Arial"/>
          <w:lang w:val="cs-CZ"/>
        </w:rPr>
      </w:pPr>
      <w:r w:rsidRPr="00633A0C">
        <w:rPr>
          <w:rFonts w:ascii="Arial" w:hAnsi="Arial" w:cs="Arial"/>
          <w:lang w:val="cs-CZ"/>
        </w:rPr>
        <w:t>Častější v rodinách s vysokým příjmem (40 %) než v rodinách s nízkým příjmem (34 %).</w:t>
      </w:r>
    </w:p>
    <w:p w14:paraId="0B944D64" w14:textId="0B301F72" w:rsidR="00906AB0" w:rsidRDefault="00633A0C">
      <w:pPr>
        <w:numPr>
          <w:ilvl w:val="0"/>
          <w:numId w:val="5"/>
        </w:numPr>
        <w:spacing w:after="0"/>
        <w:rPr>
          <w:rFonts w:ascii="Arial" w:hAnsi="Arial" w:cs="Arial"/>
          <w:lang w:val="cs-CZ"/>
        </w:rPr>
      </w:pPr>
      <w:r>
        <w:rPr>
          <w:rFonts w:ascii="Arial" w:hAnsi="Arial" w:cs="Arial"/>
          <w:lang w:val="cs-CZ"/>
        </w:rPr>
        <w:t xml:space="preserve">Kategorie uživatelů sociálních médií </w:t>
      </w:r>
    </w:p>
    <w:p w14:paraId="25C9EC26" w14:textId="207AB336" w:rsidR="00522BBC" w:rsidRPr="00522BBC" w:rsidRDefault="00522BBC" w:rsidP="00522BBC">
      <w:pPr>
        <w:pStyle w:val="ListParagraph"/>
        <w:numPr>
          <w:ilvl w:val="1"/>
          <w:numId w:val="5"/>
        </w:numPr>
        <w:spacing w:after="0"/>
        <w:rPr>
          <w:rFonts w:ascii="Arial" w:hAnsi="Arial" w:cs="Arial"/>
          <w:lang w:val="cs-CZ"/>
        </w:rPr>
      </w:pPr>
      <w:r w:rsidRPr="00522BBC">
        <w:rPr>
          <w:rFonts w:ascii="Arial" w:hAnsi="Arial" w:cs="Arial"/>
          <w:lang w:val="cs-CZ"/>
        </w:rPr>
        <w:t>44 % klasifikovaných jako aktivní uživatelé.</w:t>
      </w:r>
    </w:p>
    <w:p w14:paraId="4E752926" w14:textId="568DE605" w:rsidR="00522BBC" w:rsidRPr="00522BBC" w:rsidRDefault="00522BBC" w:rsidP="00522BBC">
      <w:pPr>
        <w:pStyle w:val="ListParagraph"/>
        <w:numPr>
          <w:ilvl w:val="1"/>
          <w:numId w:val="5"/>
        </w:numPr>
        <w:spacing w:after="0"/>
        <w:rPr>
          <w:rFonts w:ascii="Arial" w:hAnsi="Arial" w:cs="Arial"/>
          <w:lang w:val="cs-CZ"/>
        </w:rPr>
      </w:pPr>
      <w:r w:rsidRPr="00522BBC">
        <w:rPr>
          <w:rFonts w:ascii="Arial" w:hAnsi="Arial" w:cs="Arial"/>
          <w:lang w:val="cs-CZ"/>
        </w:rPr>
        <w:t>32 % je klasifikováno jako intenzivní uživatelé.</w:t>
      </w:r>
    </w:p>
    <w:p w14:paraId="7FB86B3F" w14:textId="26A13F94" w:rsidR="00522BBC" w:rsidRPr="00522BBC" w:rsidRDefault="00522BBC" w:rsidP="00522BBC">
      <w:pPr>
        <w:pStyle w:val="ListParagraph"/>
        <w:numPr>
          <w:ilvl w:val="1"/>
          <w:numId w:val="5"/>
        </w:numPr>
        <w:spacing w:after="0"/>
        <w:rPr>
          <w:rFonts w:ascii="Arial" w:hAnsi="Arial" w:cs="Arial"/>
          <w:lang w:val="cs-CZ"/>
        </w:rPr>
      </w:pPr>
      <w:r w:rsidRPr="00522BBC">
        <w:rPr>
          <w:rFonts w:ascii="Arial" w:hAnsi="Arial" w:cs="Arial"/>
          <w:lang w:val="cs-CZ"/>
        </w:rPr>
        <w:t>12 % klasifikováno jako neaktivní uživatelé.</w:t>
      </w:r>
    </w:p>
    <w:p w14:paraId="3437B933" w14:textId="49256C61" w:rsidR="00522BBC" w:rsidRPr="00522BBC" w:rsidRDefault="00522BBC" w:rsidP="00522BBC">
      <w:pPr>
        <w:pStyle w:val="ListParagraph"/>
        <w:numPr>
          <w:ilvl w:val="1"/>
          <w:numId w:val="5"/>
        </w:numPr>
        <w:spacing w:after="0"/>
        <w:rPr>
          <w:rFonts w:ascii="Arial" w:hAnsi="Arial" w:cs="Arial"/>
          <w:lang w:val="cs-CZ"/>
        </w:rPr>
      </w:pPr>
      <w:r w:rsidRPr="00522BBC">
        <w:rPr>
          <w:rFonts w:ascii="Arial" w:hAnsi="Arial" w:cs="Arial"/>
          <w:lang w:val="cs-CZ"/>
        </w:rPr>
        <w:t>Neaktivní užívání je nejvyšší mezi rodinami s nízkým příjmem.</w:t>
      </w:r>
    </w:p>
    <w:p w14:paraId="0B944D69" w14:textId="51706D80" w:rsidR="00906AB0" w:rsidRPr="00C606BB" w:rsidRDefault="00522BBC">
      <w:pPr>
        <w:spacing w:before="240" w:after="240"/>
        <w:rPr>
          <w:rFonts w:ascii="Arial" w:hAnsi="Arial" w:cs="Arial"/>
          <w:b/>
          <w:bCs/>
          <w:lang w:val="cs-CZ"/>
        </w:rPr>
      </w:pPr>
      <w:r w:rsidRPr="00C606BB">
        <w:rPr>
          <w:rFonts w:ascii="Arial" w:hAnsi="Arial" w:cs="Arial"/>
          <w:b/>
          <w:bCs/>
          <w:lang w:val="cs-CZ"/>
        </w:rPr>
        <w:t xml:space="preserve">Hraní her </w:t>
      </w:r>
    </w:p>
    <w:p w14:paraId="0B944D6A" w14:textId="3F4B4304" w:rsidR="00906AB0" w:rsidRDefault="00522BBC" w:rsidP="00CA762D">
      <w:pPr>
        <w:numPr>
          <w:ilvl w:val="0"/>
          <w:numId w:val="4"/>
        </w:numPr>
        <w:spacing w:before="240" w:after="0"/>
        <w:rPr>
          <w:rFonts w:ascii="Arial" w:hAnsi="Arial" w:cs="Arial"/>
          <w:lang w:val="cs-CZ"/>
        </w:rPr>
      </w:pPr>
      <w:r>
        <w:rPr>
          <w:rFonts w:ascii="Arial" w:hAnsi="Arial" w:cs="Arial"/>
          <w:lang w:val="cs-CZ"/>
        </w:rPr>
        <w:t>Frekvence hraní</w:t>
      </w:r>
      <w:r w:rsidR="005915FD" w:rsidRPr="001A49DD">
        <w:rPr>
          <w:rFonts w:ascii="Arial" w:hAnsi="Arial" w:cs="Arial"/>
          <w:lang w:val="cs-CZ"/>
        </w:rPr>
        <w:t>:</w:t>
      </w:r>
    </w:p>
    <w:p w14:paraId="11EF784E" w14:textId="5237F67F" w:rsidR="00CA762D" w:rsidRPr="00CA762D" w:rsidRDefault="00CA762D" w:rsidP="00CA762D">
      <w:pPr>
        <w:pStyle w:val="ListParagraph"/>
        <w:numPr>
          <w:ilvl w:val="1"/>
          <w:numId w:val="4"/>
        </w:numPr>
        <w:spacing w:after="0"/>
        <w:rPr>
          <w:rFonts w:ascii="Arial" w:hAnsi="Arial" w:cs="Arial"/>
          <w:lang w:val="cs-CZ"/>
        </w:rPr>
      </w:pPr>
      <w:r w:rsidRPr="00CA762D">
        <w:rPr>
          <w:rFonts w:ascii="Arial" w:hAnsi="Arial" w:cs="Arial"/>
          <w:lang w:val="cs-CZ"/>
        </w:rPr>
        <w:t>34 % dospívajících hraje digitální hry denně.</w:t>
      </w:r>
    </w:p>
    <w:p w14:paraId="2AE6F213" w14:textId="364E6A72" w:rsidR="00CA762D" w:rsidRPr="00CA762D" w:rsidRDefault="00CA762D" w:rsidP="00CA762D">
      <w:pPr>
        <w:pStyle w:val="ListParagraph"/>
        <w:numPr>
          <w:ilvl w:val="1"/>
          <w:numId w:val="4"/>
        </w:numPr>
        <w:spacing w:before="240" w:after="0"/>
        <w:rPr>
          <w:rFonts w:ascii="Arial" w:hAnsi="Arial" w:cs="Arial"/>
          <w:lang w:val="cs-CZ"/>
        </w:rPr>
      </w:pPr>
      <w:r w:rsidRPr="00CA762D">
        <w:rPr>
          <w:rFonts w:ascii="Arial" w:hAnsi="Arial" w:cs="Arial"/>
          <w:lang w:val="cs-CZ"/>
        </w:rPr>
        <w:t>22 % z nich hraje ve dnech hraní alespoň čtyři hodiny.</w:t>
      </w:r>
    </w:p>
    <w:p w14:paraId="78E17D0B" w14:textId="4EB04EA1" w:rsidR="00CA762D" w:rsidRPr="00CA762D" w:rsidRDefault="00CA762D" w:rsidP="00CA762D">
      <w:pPr>
        <w:pStyle w:val="ListParagraph"/>
        <w:numPr>
          <w:ilvl w:val="1"/>
          <w:numId w:val="4"/>
        </w:numPr>
        <w:spacing w:before="240" w:after="0"/>
        <w:rPr>
          <w:rFonts w:ascii="Arial" w:hAnsi="Arial" w:cs="Arial"/>
          <w:lang w:val="cs-CZ"/>
        </w:rPr>
      </w:pPr>
      <w:r w:rsidRPr="00CA762D">
        <w:rPr>
          <w:rFonts w:ascii="Arial" w:hAnsi="Arial" w:cs="Arial"/>
          <w:lang w:val="cs-CZ"/>
        </w:rPr>
        <w:t>Denní hraní dosahuje vrcholu ve věku 13 let u chlapců a 11 let u dívek.</w:t>
      </w:r>
    </w:p>
    <w:p w14:paraId="174B4298" w14:textId="55633496" w:rsidR="00CA762D" w:rsidRPr="00CA762D" w:rsidRDefault="00CA762D" w:rsidP="00CA762D">
      <w:pPr>
        <w:pStyle w:val="ListParagraph"/>
        <w:numPr>
          <w:ilvl w:val="1"/>
          <w:numId w:val="4"/>
        </w:numPr>
        <w:spacing w:before="240" w:after="0"/>
        <w:rPr>
          <w:rFonts w:ascii="Arial" w:hAnsi="Arial" w:cs="Arial"/>
          <w:lang w:val="cs-CZ"/>
        </w:rPr>
      </w:pPr>
      <w:r w:rsidRPr="00CA762D">
        <w:rPr>
          <w:rFonts w:ascii="Arial" w:hAnsi="Arial" w:cs="Arial"/>
          <w:lang w:val="cs-CZ"/>
        </w:rPr>
        <w:t>Dlouhé herní seance (alespoň čtyři hodiny) byly nejčastější u 13letých a 15letých chlapců.</w:t>
      </w:r>
    </w:p>
    <w:p w14:paraId="0B944D6F" w14:textId="279ABCE6" w:rsidR="00906AB0" w:rsidRDefault="00CA762D">
      <w:pPr>
        <w:numPr>
          <w:ilvl w:val="0"/>
          <w:numId w:val="4"/>
        </w:numPr>
        <w:spacing w:after="0"/>
        <w:rPr>
          <w:rFonts w:ascii="Arial" w:hAnsi="Arial" w:cs="Arial"/>
          <w:lang w:val="cs-CZ"/>
        </w:rPr>
      </w:pPr>
      <w:r>
        <w:rPr>
          <w:rFonts w:ascii="Arial" w:hAnsi="Arial" w:cs="Arial"/>
          <w:lang w:val="cs-CZ"/>
        </w:rPr>
        <w:t>Problematické hraní</w:t>
      </w:r>
      <w:r w:rsidR="005915FD" w:rsidRPr="001A49DD">
        <w:rPr>
          <w:rFonts w:ascii="Arial" w:hAnsi="Arial" w:cs="Arial"/>
          <w:lang w:val="cs-CZ"/>
        </w:rPr>
        <w:t>:</w:t>
      </w:r>
    </w:p>
    <w:p w14:paraId="77B883D5" w14:textId="2DDD59A3" w:rsidR="00D333D3" w:rsidRPr="00D333D3" w:rsidRDefault="00D333D3" w:rsidP="00D333D3">
      <w:pPr>
        <w:pStyle w:val="ListParagraph"/>
        <w:numPr>
          <w:ilvl w:val="1"/>
          <w:numId w:val="4"/>
        </w:numPr>
        <w:spacing w:after="0"/>
        <w:rPr>
          <w:rFonts w:ascii="Arial" w:hAnsi="Arial" w:cs="Arial"/>
          <w:lang w:val="cs-CZ"/>
        </w:rPr>
      </w:pPr>
      <w:r w:rsidRPr="00D333D3">
        <w:rPr>
          <w:rFonts w:ascii="Arial" w:hAnsi="Arial" w:cs="Arial"/>
          <w:lang w:val="cs-CZ"/>
        </w:rPr>
        <w:t>12 % dospívajících je ohroženo problémovým hraním.</w:t>
      </w:r>
    </w:p>
    <w:p w14:paraId="0BD29E52" w14:textId="661398C8" w:rsidR="00D333D3" w:rsidRPr="00D333D3" w:rsidRDefault="00D333D3" w:rsidP="00D333D3">
      <w:pPr>
        <w:pStyle w:val="ListParagraph"/>
        <w:numPr>
          <w:ilvl w:val="1"/>
          <w:numId w:val="4"/>
        </w:numPr>
        <w:spacing w:after="0"/>
        <w:rPr>
          <w:rFonts w:ascii="Arial" w:hAnsi="Arial" w:cs="Arial"/>
          <w:lang w:val="cs-CZ"/>
        </w:rPr>
      </w:pPr>
      <w:r w:rsidRPr="00D333D3">
        <w:rPr>
          <w:rFonts w:ascii="Arial" w:hAnsi="Arial" w:cs="Arial"/>
          <w:lang w:val="cs-CZ"/>
        </w:rPr>
        <w:t xml:space="preserve">Chlapci </w:t>
      </w:r>
      <w:proofErr w:type="gramStart"/>
      <w:r w:rsidRPr="00D333D3">
        <w:rPr>
          <w:rFonts w:ascii="Arial" w:hAnsi="Arial" w:cs="Arial"/>
          <w:lang w:val="cs-CZ"/>
        </w:rPr>
        <w:t>častěji</w:t>
      </w:r>
      <w:proofErr w:type="gramEnd"/>
      <w:r w:rsidRPr="00D333D3">
        <w:rPr>
          <w:rFonts w:ascii="Arial" w:hAnsi="Arial" w:cs="Arial"/>
          <w:lang w:val="cs-CZ"/>
        </w:rPr>
        <w:t xml:space="preserve"> než dívky vykazují známky problémového hraní (16 % oproti 7 %).</w:t>
      </w:r>
    </w:p>
    <w:p w14:paraId="0B944D72" w14:textId="4F68A208" w:rsidR="00906AB0" w:rsidRDefault="00D333D3">
      <w:pPr>
        <w:numPr>
          <w:ilvl w:val="0"/>
          <w:numId w:val="4"/>
        </w:numPr>
        <w:spacing w:after="0"/>
        <w:rPr>
          <w:rFonts w:ascii="Arial" w:hAnsi="Arial" w:cs="Arial"/>
          <w:lang w:val="cs-CZ"/>
        </w:rPr>
      </w:pPr>
      <w:r>
        <w:rPr>
          <w:rFonts w:ascii="Arial" w:hAnsi="Arial" w:cs="Arial"/>
          <w:lang w:val="cs-CZ"/>
        </w:rPr>
        <w:t xml:space="preserve">Kategorie hráčů </w:t>
      </w:r>
    </w:p>
    <w:p w14:paraId="27AA65E5" w14:textId="05F7F27F" w:rsidR="00D333D3" w:rsidRPr="00D333D3" w:rsidRDefault="00D333D3" w:rsidP="00D333D3">
      <w:pPr>
        <w:pStyle w:val="ListParagraph"/>
        <w:numPr>
          <w:ilvl w:val="1"/>
          <w:numId w:val="4"/>
        </w:numPr>
        <w:spacing w:after="0"/>
        <w:rPr>
          <w:rFonts w:ascii="Arial" w:hAnsi="Arial" w:cs="Arial"/>
          <w:lang w:val="cs-CZ"/>
        </w:rPr>
      </w:pPr>
      <w:r w:rsidRPr="00D333D3">
        <w:rPr>
          <w:rFonts w:ascii="Arial" w:hAnsi="Arial" w:cs="Arial"/>
          <w:lang w:val="cs-CZ"/>
        </w:rPr>
        <w:t>68 % klasifikováno jako neproblematičtí hráči (nárůst z 61 % v roce 2018).</w:t>
      </w:r>
    </w:p>
    <w:p w14:paraId="4F13D30A" w14:textId="053B4D0A" w:rsidR="00D333D3" w:rsidRPr="00D333D3" w:rsidRDefault="00D333D3" w:rsidP="00D333D3">
      <w:pPr>
        <w:pStyle w:val="ListParagraph"/>
        <w:numPr>
          <w:ilvl w:val="1"/>
          <w:numId w:val="4"/>
        </w:numPr>
        <w:spacing w:after="0"/>
        <w:rPr>
          <w:rFonts w:ascii="Arial" w:hAnsi="Arial" w:cs="Arial"/>
          <w:lang w:val="cs-CZ"/>
        </w:rPr>
      </w:pPr>
      <w:r w:rsidRPr="00D333D3">
        <w:rPr>
          <w:rFonts w:ascii="Arial" w:hAnsi="Arial" w:cs="Arial"/>
          <w:lang w:val="cs-CZ"/>
        </w:rPr>
        <w:t>20 % klasifikováno jako neproblémoví hráči.</w:t>
      </w:r>
    </w:p>
    <w:p w14:paraId="7A0B92B5" w14:textId="6AE8CCCD" w:rsidR="00D333D3" w:rsidRPr="00D333D3" w:rsidRDefault="00D333D3" w:rsidP="00D333D3">
      <w:pPr>
        <w:pStyle w:val="ListParagraph"/>
        <w:numPr>
          <w:ilvl w:val="1"/>
          <w:numId w:val="4"/>
        </w:numPr>
        <w:spacing w:after="0"/>
        <w:rPr>
          <w:rFonts w:ascii="Arial" w:hAnsi="Arial" w:cs="Arial"/>
          <w:lang w:val="cs-CZ"/>
        </w:rPr>
      </w:pPr>
      <w:r w:rsidRPr="00D333D3">
        <w:rPr>
          <w:rFonts w:ascii="Arial" w:hAnsi="Arial" w:cs="Arial"/>
          <w:lang w:val="cs-CZ"/>
        </w:rPr>
        <w:t>Chlapci se častěji řadili mezi neproblémové hráče ve věku 15 let ve srovnání s mladším věkem.</w:t>
      </w:r>
    </w:p>
    <w:p w14:paraId="0B944D76" w14:textId="77777777" w:rsidR="00906AB0" w:rsidRPr="001A49DD" w:rsidRDefault="005915FD">
      <w:pPr>
        <w:spacing w:before="240" w:after="240"/>
        <w:rPr>
          <w:rFonts w:ascii="Arial" w:hAnsi="Arial" w:cs="Arial"/>
          <w:lang w:val="cs-CZ"/>
        </w:rPr>
      </w:pPr>
      <w:r w:rsidRPr="001A49DD">
        <w:rPr>
          <w:rFonts w:ascii="Arial" w:hAnsi="Arial" w:cs="Arial"/>
          <w:lang w:val="cs-CZ"/>
        </w:rPr>
        <w:br w:type="page"/>
      </w:r>
    </w:p>
    <w:p w14:paraId="0B944D77" w14:textId="77777777" w:rsidR="00906AB0" w:rsidRPr="001A49DD" w:rsidRDefault="00251E92">
      <w:pPr>
        <w:spacing w:before="240" w:after="240"/>
        <w:rPr>
          <w:rFonts w:ascii="Arial" w:hAnsi="Arial" w:cs="Arial"/>
          <w:lang w:val="cs-CZ"/>
        </w:rPr>
      </w:pPr>
      <w:r>
        <w:rPr>
          <w:rFonts w:ascii="Arial" w:hAnsi="Arial" w:cs="Arial"/>
          <w:lang w:val="cs-CZ"/>
        </w:rPr>
        <w:lastRenderedPageBreak/>
        <w:pict w14:anchorId="0B944D89">
          <v:rect id="_x0000_i1027" style="width:0;height:1.5pt" o:hralign="center" o:hrstd="t" o:hr="t" fillcolor="#a0a0a0" stroked="f"/>
        </w:pict>
      </w:r>
    </w:p>
    <w:p w14:paraId="0B944D78" w14:textId="6452D28E" w:rsidR="00906AB0" w:rsidRPr="001A49DD" w:rsidRDefault="001F32F3">
      <w:pPr>
        <w:spacing w:before="240" w:after="240"/>
        <w:rPr>
          <w:rFonts w:ascii="Arial" w:hAnsi="Arial" w:cs="Arial"/>
          <w:lang w:val="cs-CZ"/>
        </w:rPr>
      </w:pPr>
      <w:r>
        <w:rPr>
          <w:rFonts w:ascii="Arial" w:hAnsi="Arial" w:cs="Arial"/>
          <w:b/>
          <w:lang w:val="cs-CZ"/>
        </w:rPr>
        <w:t>Definice klíčových termínů</w:t>
      </w:r>
      <w:r w:rsidR="005915FD" w:rsidRPr="001A49DD">
        <w:rPr>
          <w:rFonts w:ascii="Arial" w:hAnsi="Arial" w:cs="Arial"/>
          <w:b/>
          <w:lang w:val="cs-CZ"/>
        </w:rPr>
        <w:t>:</w:t>
      </w:r>
    </w:p>
    <w:p w14:paraId="0B944D79" w14:textId="3B0AEDCC" w:rsidR="00906AB0" w:rsidRPr="001A49DD" w:rsidRDefault="001F32F3">
      <w:pPr>
        <w:numPr>
          <w:ilvl w:val="0"/>
          <w:numId w:val="6"/>
        </w:numPr>
        <w:spacing w:before="240" w:after="0"/>
        <w:rPr>
          <w:rFonts w:ascii="Arial" w:hAnsi="Arial" w:cs="Arial"/>
          <w:lang w:val="cs-CZ"/>
        </w:rPr>
      </w:pPr>
      <w:r>
        <w:rPr>
          <w:rFonts w:ascii="Arial" w:hAnsi="Arial" w:cs="Arial"/>
          <w:b/>
          <w:lang w:val="cs-CZ"/>
        </w:rPr>
        <w:t>Stálý online kontakt:</w:t>
      </w:r>
      <w:r w:rsidR="005915FD" w:rsidRPr="001A49DD">
        <w:rPr>
          <w:rFonts w:ascii="Arial" w:hAnsi="Arial" w:cs="Arial"/>
          <w:lang w:val="cs-CZ"/>
        </w:rPr>
        <w:t xml:space="preserve"> </w:t>
      </w:r>
      <w:r w:rsidR="00223C86">
        <w:rPr>
          <w:rFonts w:ascii="Arial" w:hAnsi="Arial" w:cs="Arial"/>
          <w:lang w:val="cs-CZ"/>
        </w:rPr>
        <w:t>B</w:t>
      </w:r>
      <w:r w:rsidR="00223C86" w:rsidRPr="00223C86">
        <w:rPr>
          <w:rFonts w:ascii="Arial" w:hAnsi="Arial" w:cs="Arial"/>
          <w:lang w:val="cs-CZ"/>
        </w:rPr>
        <w:t>ýt v kontaktu s přáteli nebo jinými lidmi prostřednictvím sociálních médií „téměř neustále po celý den“.</w:t>
      </w:r>
      <w:r w:rsidR="00223C86">
        <w:rPr>
          <w:rFonts w:ascii="Arial" w:hAnsi="Arial" w:cs="Arial"/>
          <w:lang w:val="cs-CZ"/>
        </w:rPr>
        <w:t xml:space="preserve"> </w:t>
      </w:r>
    </w:p>
    <w:p w14:paraId="338B2F2A" w14:textId="32F4571A" w:rsidR="00223C86" w:rsidRDefault="00223C86">
      <w:pPr>
        <w:numPr>
          <w:ilvl w:val="0"/>
          <w:numId w:val="6"/>
        </w:numPr>
        <w:spacing w:after="0"/>
        <w:rPr>
          <w:rFonts w:ascii="Arial" w:hAnsi="Arial" w:cs="Arial"/>
          <w:lang w:val="cs-CZ"/>
        </w:rPr>
      </w:pPr>
      <w:r w:rsidRPr="00223C86">
        <w:rPr>
          <w:rFonts w:ascii="Arial" w:hAnsi="Arial" w:cs="Arial"/>
          <w:b/>
          <w:bCs/>
          <w:lang w:val="cs-CZ"/>
        </w:rPr>
        <w:t>Problematické užívání sociálních médií</w:t>
      </w:r>
      <w:r w:rsidR="005915FD" w:rsidRPr="001A49DD">
        <w:rPr>
          <w:rFonts w:ascii="Arial" w:hAnsi="Arial" w:cs="Arial"/>
          <w:lang w:val="cs-CZ"/>
        </w:rPr>
        <w:t xml:space="preserve">: </w:t>
      </w:r>
      <w:r w:rsidRPr="00223C86">
        <w:rPr>
          <w:rFonts w:ascii="Arial" w:hAnsi="Arial" w:cs="Arial"/>
          <w:lang w:val="cs-CZ"/>
        </w:rPr>
        <w:t xml:space="preserve">Vykazování šesti nebo více z devíti příznaků podobných závislosti v souvislosti s používáním sociálních médií. Mezi tyto příznaky patří: </w:t>
      </w:r>
      <w:r w:rsidR="00290224">
        <w:rPr>
          <w:rFonts w:ascii="Arial" w:hAnsi="Arial" w:cs="Arial"/>
          <w:lang w:val="cs-CZ"/>
        </w:rPr>
        <w:t xml:space="preserve">zaneprázdněnost </w:t>
      </w:r>
      <w:r w:rsidRPr="00223C86">
        <w:rPr>
          <w:rFonts w:ascii="Arial" w:hAnsi="Arial" w:cs="Arial"/>
          <w:lang w:val="cs-CZ"/>
        </w:rPr>
        <w:t>sociálními médii; nespokojenost způsobená touhou po větším množství času stráveného na sociálních sítích; negativní pocity, když sociální média nemůžete používat; neúspěšné pokusy o omezení používání; zanedbávání jiných aktivit; časté hádky ohledně používání; klamání ohledně stráveného času; používání sociálních médií k úniku před negativními pocity; vážné konflikty způsobené používáním sociálních médií.</w:t>
      </w:r>
    </w:p>
    <w:p w14:paraId="0B944D7B" w14:textId="7ACF205F" w:rsidR="00906AB0" w:rsidRPr="001A49DD" w:rsidRDefault="00290224">
      <w:pPr>
        <w:numPr>
          <w:ilvl w:val="0"/>
          <w:numId w:val="6"/>
        </w:numPr>
        <w:spacing w:after="0"/>
        <w:rPr>
          <w:rFonts w:ascii="Arial" w:hAnsi="Arial" w:cs="Arial"/>
          <w:lang w:val="cs-CZ"/>
        </w:rPr>
      </w:pPr>
      <w:r w:rsidRPr="00290224">
        <w:rPr>
          <w:rFonts w:ascii="Arial" w:hAnsi="Arial" w:cs="Arial"/>
          <w:b/>
          <w:bCs/>
          <w:lang w:val="cs-CZ"/>
        </w:rPr>
        <w:t>Kategori</w:t>
      </w:r>
      <w:r>
        <w:rPr>
          <w:rFonts w:ascii="Arial" w:hAnsi="Arial" w:cs="Arial"/>
          <w:b/>
          <w:bCs/>
          <w:lang w:val="cs-CZ"/>
        </w:rPr>
        <w:t>e</w:t>
      </w:r>
      <w:r w:rsidRPr="00290224">
        <w:rPr>
          <w:rFonts w:ascii="Arial" w:hAnsi="Arial" w:cs="Arial"/>
          <w:b/>
          <w:bCs/>
          <w:lang w:val="cs-CZ"/>
        </w:rPr>
        <w:t xml:space="preserve"> uživatelů sociálních médií</w:t>
      </w:r>
      <w:r w:rsidR="005915FD" w:rsidRPr="001A49DD">
        <w:rPr>
          <w:rFonts w:ascii="Arial" w:hAnsi="Arial" w:cs="Arial"/>
          <w:lang w:val="cs-CZ"/>
        </w:rPr>
        <w:t>:</w:t>
      </w:r>
    </w:p>
    <w:p w14:paraId="017E6808" w14:textId="06740348" w:rsidR="005F32BB" w:rsidRPr="005F32BB" w:rsidRDefault="005F32BB" w:rsidP="005F32BB">
      <w:pPr>
        <w:pStyle w:val="ListParagraph"/>
        <w:numPr>
          <w:ilvl w:val="1"/>
          <w:numId w:val="6"/>
        </w:numPr>
        <w:spacing w:after="0"/>
        <w:rPr>
          <w:rFonts w:ascii="Arial" w:hAnsi="Arial" w:cs="Arial"/>
          <w:bCs/>
          <w:lang w:val="cs-CZ"/>
        </w:rPr>
      </w:pPr>
      <w:r w:rsidRPr="005F32BB">
        <w:rPr>
          <w:rFonts w:ascii="Arial" w:hAnsi="Arial" w:cs="Arial"/>
          <w:b/>
          <w:lang w:val="cs-CZ"/>
        </w:rPr>
        <w:t>Neaktivní uživatelé</w:t>
      </w:r>
      <w:r w:rsidRPr="005F32BB">
        <w:rPr>
          <w:rFonts w:ascii="Arial" w:hAnsi="Arial" w:cs="Arial"/>
          <w:bCs/>
          <w:lang w:val="cs-CZ"/>
        </w:rPr>
        <w:t>: Ti, kteří jsou v online kontaktu jednou týdně nebo méně často, aniž by měli problémové užívání (12 % dospívajících).</w:t>
      </w:r>
    </w:p>
    <w:p w14:paraId="6969B978" w14:textId="55BE73F9" w:rsidR="005F32BB" w:rsidRPr="005F32BB" w:rsidRDefault="005F32BB" w:rsidP="005F32BB">
      <w:pPr>
        <w:pStyle w:val="ListParagraph"/>
        <w:numPr>
          <w:ilvl w:val="1"/>
          <w:numId w:val="6"/>
        </w:numPr>
        <w:spacing w:after="0"/>
        <w:rPr>
          <w:rFonts w:ascii="Arial" w:hAnsi="Arial" w:cs="Arial"/>
          <w:bCs/>
          <w:lang w:val="cs-CZ"/>
        </w:rPr>
      </w:pPr>
      <w:r w:rsidRPr="005F32BB">
        <w:rPr>
          <w:rFonts w:ascii="Arial" w:hAnsi="Arial" w:cs="Arial"/>
          <w:b/>
          <w:lang w:val="cs-CZ"/>
        </w:rPr>
        <w:t>Aktivní uživatelé</w:t>
      </w:r>
      <w:r w:rsidRPr="005F32BB">
        <w:rPr>
          <w:rFonts w:ascii="Arial" w:hAnsi="Arial" w:cs="Arial"/>
          <w:bCs/>
          <w:lang w:val="cs-CZ"/>
        </w:rPr>
        <w:t>: Ti, kteří mají každodenní kontakt s internetem bez problematického užívání (44 % dospívajících).</w:t>
      </w:r>
    </w:p>
    <w:p w14:paraId="17FD2423" w14:textId="65B9634E" w:rsidR="005F32BB" w:rsidRPr="005F32BB" w:rsidRDefault="005F32BB" w:rsidP="005F32BB">
      <w:pPr>
        <w:pStyle w:val="ListParagraph"/>
        <w:numPr>
          <w:ilvl w:val="1"/>
          <w:numId w:val="6"/>
        </w:numPr>
        <w:spacing w:after="0"/>
        <w:rPr>
          <w:rFonts w:ascii="Arial" w:hAnsi="Arial" w:cs="Arial"/>
          <w:bCs/>
          <w:lang w:val="cs-CZ"/>
        </w:rPr>
      </w:pPr>
      <w:r w:rsidRPr="005F32BB">
        <w:rPr>
          <w:rFonts w:ascii="Arial" w:hAnsi="Arial" w:cs="Arial"/>
          <w:b/>
          <w:lang w:val="cs-CZ"/>
        </w:rPr>
        <w:t>Intenzivní uživatelé</w:t>
      </w:r>
      <w:r w:rsidRPr="005F32BB">
        <w:rPr>
          <w:rFonts w:ascii="Arial" w:hAnsi="Arial" w:cs="Arial"/>
          <w:bCs/>
          <w:lang w:val="cs-CZ"/>
        </w:rPr>
        <w:t>: Ti, kteří mají téměř neustálý kontakt online bez problematického užívání (32 % dospívajících).</w:t>
      </w:r>
    </w:p>
    <w:p w14:paraId="3F8376EE" w14:textId="2AC68970" w:rsidR="005F32BB" w:rsidRPr="005F32BB" w:rsidRDefault="005F32BB" w:rsidP="005F32BB">
      <w:pPr>
        <w:pStyle w:val="ListParagraph"/>
        <w:numPr>
          <w:ilvl w:val="1"/>
          <w:numId w:val="6"/>
        </w:numPr>
        <w:spacing w:after="0"/>
        <w:rPr>
          <w:rFonts w:ascii="Arial" w:hAnsi="Arial" w:cs="Arial"/>
          <w:bCs/>
          <w:lang w:val="cs-CZ"/>
        </w:rPr>
      </w:pPr>
      <w:r w:rsidRPr="005F32BB">
        <w:rPr>
          <w:rFonts w:ascii="Arial" w:hAnsi="Arial" w:cs="Arial"/>
          <w:b/>
          <w:lang w:val="cs-CZ"/>
        </w:rPr>
        <w:t>Problematičtí uživatelé</w:t>
      </w:r>
      <w:r w:rsidRPr="005F32BB">
        <w:rPr>
          <w:rFonts w:ascii="Arial" w:hAnsi="Arial" w:cs="Arial"/>
          <w:bCs/>
          <w:lang w:val="cs-CZ"/>
        </w:rPr>
        <w:t>: Ti, kteří vykazují šest a více příznaků problémového užívání (11 % dospívajících).</w:t>
      </w:r>
    </w:p>
    <w:p w14:paraId="0B944D80" w14:textId="6D4F4E19" w:rsidR="00906AB0" w:rsidRPr="001A49DD" w:rsidRDefault="00574C8B" w:rsidP="005F32BB">
      <w:pPr>
        <w:numPr>
          <w:ilvl w:val="0"/>
          <w:numId w:val="6"/>
        </w:numPr>
        <w:spacing w:after="0"/>
        <w:rPr>
          <w:rFonts w:ascii="Arial" w:hAnsi="Arial" w:cs="Arial"/>
          <w:lang w:val="cs-CZ"/>
        </w:rPr>
      </w:pPr>
      <w:r>
        <w:rPr>
          <w:rFonts w:ascii="Arial" w:hAnsi="Arial" w:cs="Arial"/>
          <w:b/>
          <w:lang w:val="cs-CZ"/>
        </w:rPr>
        <w:t>Hraní digitálních her</w:t>
      </w:r>
      <w:r w:rsidR="005915FD" w:rsidRPr="001A49DD">
        <w:rPr>
          <w:rFonts w:ascii="Arial" w:hAnsi="Arial" w:cs="Arial"/>
          <w:lang w:val="cs-CZ"/>
        </w:rPr>
        <w:t xml:space="preserve">: </w:t>
      </w:r>
      <w:r w:rsidR="00312CF8" w:rsidRPr="00312CF8">
        <w:rPr>
          <w:rFonts w:ascii="Arial" w:hAnsi="Arial" w:cs="Arial"/>
          <w:lang w:val="cs-CZ"/>
        </w:rPr>
        <w:t>Hraní her na elektronických zařízeních, jako jsou chytré telefony, tablety, počítače nebo herní konzole.</w:t>
      </w:r>
    </w:p>
    <w:p w14:paraId="0B944D81" w14:textId="26B3DD4D" w:rsidR="00906AB0" w:rsidRPr="001A49DD" w:rsidRDefault="00312CF8">
      <w:pPr>
        <w:numPr>
          <w:ilvl w:val="0"/>
          <w:numId w:val="6"/>
        </w:numPr>
        <w:spacing w:after="0"/>
        <w:rPr>
          <w:rFonts w:ascii="Arial" w:hAnsi="Arial" w:cs="Arial"/>
          <w:lang w:val="cs-CZ"/>
        </w:rPr>
      </w:pPr>
      <w:r>
        <w:rPr>
          <w:rFonts w:ascii="Arial" w:hAnsi="Arial" w:cs="Arial"/>
          <w:b/>
          <w:lang w:val="cs-CZ"/>
        </w:rPr>
        <w:t>Kategorie hráčů</w:t>
      </w:r>
      <w:r w:rsidR="005915FD" w:rsidRPr="001A49DD">
        <w:rPr>
          <w:rFonts w:ascii="Arial" w:hAnsi="Arial" w:cs="Arial"/>
          <w:lang w:val="cs-CZ"/>
        </w:rPr>
        <w:t>:</w:t>
      </w:r>
    </w:p>
    <w:p w14:paraId="27278386" w14:textId="77777777" w:rsidR="00312CF8" w:rsidRPr="00312CF8" w:rsidRDefault="00312CF8" w:rsidP="00312CF8">
      <w:pPr>
        <w:numPr>
          <w:ilvl w:val="1"/>
          <w:numId w:val="6"/>
        </w:numPr>
        <w:spacing w:after="0"/>
        <w:rPr>
          <w:rFonts w:ascii="Arial" w:hAnsi="Arial" w:cs="Arial"/>
          <w:b/>
          <w:lang w:val="cs-CZ"/>
        </w:rPr>
      </w:pPr>
      <w:proofErr w:type="spellStart"/>
      <w:r w:rsidRPr="00312CF8">
        <w:rPr>
          <w:rFonts w:ascii="Arial" w:hAnsi="Arial" w:cs="Arial"/>
          <w:b/>
          <w:lang w:val="cs-CZ"/>
        </w:rPr>
        <w:t>Nehráči</w:t>
      </w:r>
      <w:proofErr w:type="spellEnd"/>
      <w:r w:rsidRPr="00312CF8">
        <w:rPr>
          <w:rFonts w:ascii="Arial" w:hAnsi="Arial" w:cs="Arial"/>
          <w:b/>
          <w:lang w:val="cs-CZ"/>
        </w:rPr>
        <w:t xml:space="preserve">: </w:t>
      </w:r>
      <w:r w:rsidRPr="00312CF8">
        <w:rPr>
          <w:rFonts w:ascii="Arial" w:hAnsi="Arial" w:cs="Arial"/>
          <w:bCs/>
          <w:lang w:val="cs-CZ"/>
        </w:rPr>
        <w:t>Ti, kteří nikdy nebo téměř nikdy nehrají digitální hry (20 % dospívajících).</w:t>
      </w:r>
    </w:p>
    <w:p w14:paraId="31ED727D" w14:textId="77777777" w:rsidR="00312CF8" w:rsidRPr="00312CF8" w:rsidRDefault="00312CF8" w:rsidP="00312CF8">
      <w:pPr>
        <w:numPr>
          <w:ilvl w:val="1"/>
          <w:numId w:val="6"/>
        </w:numPr>
        <w:spacing w:after="0"/>
        <w:rPr>
          <w:rFonts w:ascii="Arial" w:hAnsi="Arial" w:cs="Arial"/>
          <w:bCs/>
          <w:lang w:val="cs-CZ"/>
        </w:rPr>
      </w:pPr>
      <w:r w:rsidRPr="00312CF8">
        <w:rPr>
          <w:rFonts w:ascii="Arial" w:hAnsi="Arial" w:cs="Arial"/>
          <w:b/>
          <w:lang w:val="cs-CZ"/>
        </w:rPr>
        <w:t xml:space="preserve">Neproblematičtí hráči: </w:t>
      </w:r>
      <w:r w:rsidRPr="00312CF8">
        <w:rPr>
          <w:rFonts w:ascii="Arial" w:hAnsi="Arial" w:cs="Arial"/>
          <w:bCs/>
          <w:lang w:val="cs-CZ"/>
        </w:rPr>
        <w:t>Ti, kteří hrají digitální hry, ale vykazují méně než pět příznaků problémového hraní (68 % dospívajících).</w:t>
      </w:r>
    </w:p>
    <w:p w14:paraId="29FDCDE7" w14:textId="322A2714" w:rsidR="00312CF8" w:rsidRPr="00312CF8" w:rsidRDefault="00312CF8" w:rsidP="00312CF8">
      <w:pPr>
        <w:numPr>
          <w:ilvl w:val="1"/>
          <w:numId w:val="6"/>
        </w:numPr>
        <w:spacing w:after="0"/>
        <w:rPr>
          <w:rFonts w:ascii="Arial" w:hAnsi="Arial" w:cs="Arial"/>
          <w:bCs/>
          <w:lang w:val="cs-CZ"/>
        </w:rPr>
      </w:pPr>
      <w:r>
        <w:rPr>
          <w:rFonts w:ascii="Arial" w:hAnsi="Arial" w:cs="Arial"/>
          <w:b/>
          <w:lang w:val="cs-CZ"/>
        </w:rPr>
        <w:t>Hráči v riziku</w:t>
      </w:r>
      <w:r w:rsidRPr="00312CF8">
        <w:rPr>
          <w:rFonts w:ascii="Arial" w:hAnsi="Arial" w:cs="Arial"/>
          <w:b/>
          <w:lang w:val="cs-CZ"/>
        </w:rPr>
        <w:t xml:space="preserve">: </w:t>
      </w:r>
      <w:r w:rsidRPr="00312CF8">
        <w:rPr>
          <w:rFonts w:ascii="Arial" w:hAnsi="Arial" w:cs="Arial"/>
          <w:bCs/>
          <w:lang w:val="cs-CZ"/>
        </w:rPr>
        <w:t>Ti, kteří vykazují pět nebo více z devíti příznaků podobných problémovému užívání sociálních médií, ale vztahujících se na herní chování (12 % dospívajících). Mezi tyto příznaky patří zaujetí hraním, abstinenční příznaky, ztráta kontroly a negativní důsledky v každodenním životě.</w:t>
      </w:r>
    </w:p>
    <w:p w14:paraId="0B944D86" w14:textId="6D060AD3" w:rsidR="00906AB0" w:rsidRPr="00C606BB" w:rsidRDefault="00C606BB" w:rsidP="00C606BB">
      <w:pPr>
        <w:numPr>
          <w:ilvl w:val="0"/>
          <w:numId w:val="6"/>
        </w:numPr>
        <w:spacing w:after="240"/>
        <w:rPr>
          <w:rFonts w:ascii="Arial" w:hAnsi="Arial" w:cs="Arial"/>
          <w:lang w:val="cs-CZ"/>
        </w:rPr>
      </w:pPr>
      <w:r w:rsidRPr="00C606BB">
        <w:rPr>
          <w:rFonts w:ascii="Arial" w:hAnsi="Arial" w:cs="Arial"/>
          <w:b/>
          <w:lang w:val="cs-CZ"/>
        </w:rPr>
        <w:t>Zázemí rodiny</w:t>
      </w:r>
      <w:r w:rsidR="005915FD" w:rsidRPr="00C606BB">
        <w:rPr>
          <w:rFonts w:ascii="Arial" w:hAnsi="Arial" w:cs="Arial"/>
          <w:lang w:val="cs-CZ"/>
        </w:rPr>
        <w:t xml:space="preserve">: </w:t>
      </w:r>
      <w:r w:rsidRPr="00C606BB">
        <w:rPr>
          <w:rFonts w:ascii="Arial" w:hAnsi="Arial" w:cs="Arial"/>
          <w:lang w:val="cs-CZ"/>
        </w:rPr>
        <w:t>Měřítko socioekonomického statusu založené na hmotném majetku domácnosti, které rozděluje dospívající do skupin s nízkým (nejnižší 20 %), středním (střední 60 %) a vysokým (nejvyšší 20 %) blahobytem v rámci každé země nebo regionu.</w:t>
      </w:r>
    </w:p>
    <w:sectPr w:rsidR="00906AB0" w:rsidRPr="00C606BB" w:rsidSect="009157A8">
      <w:headerReference w:type="even" r:id="rId20"/>
      <w:headerReference w:type="default" r:id="rId21"/>
      <w:footerReference w:type="even" r:id="rId22"/>
      <w:footerReference w:type="default" r:id="rId23"/>
      <w:headerReference w:type="first" r:id="rId24"/>
      <w:pgSz w:w="11906" w:h="16838"/>
      <w:pgMar w:top="993" w:right="1133" w:bottom="0" w:left="1133" w:header="69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5920E" w14:textId="77777777" w:rsidR="00251E92" w:rsidRDefault="00251E92">
      <w:pPr>
        <w:spacing w:after="0" w:line="240" w:lineRule="auto"/>
      </w:pPr>
      <w:r>
        <w:separator/>
      </w:r>
    </w:p>
  </w:endnote>
  <w:endnote w:type="continuationSeparator" w:id="0">
    <w:p w14:paraId="3D55C4A2" w14:textId="77777777" w:rsidR="00251E92" w:rsidRDefault="00251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2FF" w:usb1="5000205B" w:usb2="0000002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44D97" w14:textId="77777777" w:rsidR="00906AB0" w:rsidRDefault="005915FD">
    <w:pPr>
      <w:pBdr>
        <w:top w:val="nil"/>
        <w:left w:val="nil"/>
        <w:bottom w:val="nil"/>
        <w:right w:val="nil"/>
        <w:between w:val="nil"/>
      </w:pBdr>
      <w:tabs>
        <w:tab w:val="center" w:pos="4153"/>
        <w:tab w:val="right" w:pos="8306"/>
      </w:tabs>
      <w:spacing w:after="0" w:line="240" w:lineRule="auto"/>
      <w:rPr>
        <w:rFonts w:ascii="Calibri" w:eastAsia="Calibri" w:hAnsi="Calibri" w:cs="Calibri"/>
        <w:b/>
        <w:color w:val="000000"/>
        <w:sz w:val="24"/>
        <w:szCs w:val="24"/>
      </w:rPr>
    </w:pPr>
    <w:r>
      <w:rPr>
        <w:rFonts w:ascii="Calibri" w:eastAsia="Calibri" w:hAnsi="Calibri" w:cs="Calibri"/>
        <w:b/>
        <w:color w:val="000000"/>
        <w:sz w:val="24"/>
        <w:szCs w:val="24"/>
      </w:rPr>
      <w:fldChar w:fldCharType="begin"/>
    </w:r>
    <w:r>
      <w:rPr>
        <w:rFonts w:ascii="Calibri" w:eastAsia="Calibri" w:hAnsi="Calibri" w:cs="Calibri"/>
        <w:b/>
        <w:color w:val="000000"/>
        <w:sz w:val="24"/>
        <w:szCs w:val="24"/>
      </w:rPr>
      <w:instrText>PAGE</w:instrText>
    </w:r>
    <w:r w:rsidR="00251E92">
      <w:rPr>
        <w:rFonts w:ascii="Calibri" w:eastAsia="Calibri" w:hAnsi="Calibri" w:cs="Calibri"/>
        <w:b/>
        <w:color w:val="000000"/>
        <w:sz w:val="24"/>
        <w:szCs w:val="24"/>
      </w:rPr>
      <w:fldChar w:fldCharType="separate"/>
    </w:r>
    <w:r>
      <w:rPr>
        <w:rFonts w:ascii="Calibri" w:eastAsia="Calibri" w:hAnsi="Calibri" w:cs="Calibri"/>
        <w:b/>
        <w:color w:val="000000"/>
        <w:sz w:val="24"/>
        <w:szCs w:val="24"/>
      </w:rPr>
      <w:fldChar w:fldCharType="end"/>
    </w:r>
  </w:p>
  <w:p w14:paraId="0B944D98" w14:textId="77777777" w:rsidR="00906AB0" w:rsidRDefault="00906AB0">
    <w:pPr>
      <w:pBdr>
        <w:top w:val="nil"/>
        <w:left w:val="nil"/>
        <w:bottom w:val="nil"/>
        <w:right w:val="nil"/>
        <w:between w:val="nil"/>
      </w:pBdr>
      <w:tabs>
        <w:tab w:val="center" w:pos="4153"/>
        <w:tab w:val="right" w:pos="8306"/>
      </w:tabs>
      <w:spacing w:after="0" w:line="240" w:lineRule="auto"/>
      <w:rPr>
        <w:rFonts w:ascii="Calibri" w:eastAsia="Calibri" w:hAnsi="Calibri" w:cs="Calibri"/>
        <w:b/>
        <w:color w:val="000000"/>
        <w:sz w:val="24"/>
        <w:szCs w:val="24"/>
      </w:rPr>
    </w:pPr>
  </w:p>
  <w:p w14:paraId="0B944D99" w14:textId="77777777" w:rsidR="00906AB0" w:rsidRDefault="00906AB0">
    <w:pPr>
      <w:pBdr>
        <w:top w:val="nil"/>
        <w:left w:val="nil"/>
        <w:bottom w:val="nil"/>
        <w:right w:val="nil"/>
        <w:between w:val="nil"/>
      </w:pBdr>
      <w:tabs>
        <w:tab w:val="center" w:pos="4153"/>
        <w:tab w:val="right" w:pos="8306"/>
      </w:tabs>
      <w:spacing w:after="0" w:line="240" w:lineRule="auto"/>
      <w:rPr>
        <w:rFonts w:ascii="Calibri" w:eastAsia="Calibri" w:hAnsi="Calibri" w:cs="Calibri"/>
        <w:b/>
        <w:color w:val="000000"/>
        <w:sz w:val="24"/>
        <w:szCs w:val="24"/>
      </w:rPr>
    </w:pPr>
  </w:p>
  <w:p w14:paraId="0B944D9A" w14:textId="77777777" w:rsidR="00906AB0" w:rsidRDefault="00906AB0"/>
  <w:p w14:paraId="0B944D9B" w14:textId="77777777" w:rsidR="00906AB0" w:rsidRDefault="00906AB0"/>
  <w:p w14:paraId="0B944D9C" w14:textId="77777777" w:rsidR="00906AB0" w:rsidRDefault="00906AB0"/>
  <w:p w14:paraId="0B944D9D" w14:textId="77777777" w:rsidR="00906AB0" w:rsidRDefault="00906AB0"/>
  <w:p w14:paraId="0B944D9E" w14:textId="77777777" w:rsidR="00906AB0" w:rsidRDefault="00906AB0"/>
  <w:p w14:paraId="0B944D9F" w14:textId="77777777" w:rsidR="00906AB0" w:rsidRDefault="00906AB0"/>
  <w:p w14:paraId="0B944DA0" w14:textId="77777777" w:rsidR="00906AB0" w:rsidRDefault="00906AB0"/>
  <w:p w14:paraId="0B944DA1" w14:textId="77777777" w:rsidR="00906AB0" w:rsidRDefault="00906AB0"/>
  <w:p w14:paraId="0B944DA2" w14:textId="77777777" w:rsidR="00906AB0" w:rsidRDefault="00906AB0"/>
  <w:p w14:paraId="0B944DA3" w14:textId="77777777" w:rsidR="00906AB0" w:rsidRDefault="00906AB0"/>
  <w:p w14:paraId="0B944DA4" w14:textId="77777777" w:rsidR="00906AB0" w:rsidRDefault="00906AB0"/>
  <w:p w14:paraId="0B944DA5" w14:textId="77777777" w:rsidR="00906AB0" w:rsidRDefault="00906AB0"/>
  <w:p w14:paraId="0B944DA6" w14:textId="77777777" w:rsidR="00906AB0" w:rsidRDefault="00906AB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44DA7" w14:textId="0B12BD90" w:rsidR="00906AB0" w:rsidRDefault="005915FD">
    <w:pPr>
      <w:spacing w:after="0"/>
      <w:jc w:val="right"/>
    </w:pPr>
    <w:r>
      <w:fldChar w:fldCharType="begin"/>
    </w:r>
    <w:r>
      <w:instrText>PAGE</w:instrText>
    </w:r>
    <w:r>
      <w:fldChar w:fldCharType="separate"/>
    </w:r>
    <w:r w:rsidR="00E056F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05610" w14:textId="77777777" w:rsidR="00251E92" w:rsidRDefault="00251E92">
      <w:pPr>
        <w:spacing w:after="0" w:line="240" w:lineRule="auto"/>
      </w:pPr>
      <w:r>
        <w:separator/>
      </w:r>
    </w:p>
  </w:footnote>
  <w:footnote w:type="continuationSeparator" w:id="0">
    <w:p w14:paraId="78F3EFAD" w14:textId="77777777" w:rsidR="00251E92" w:rsidRDefault="00251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44D8A" w14:textId="77777777" w:rsidR="00906AB0" w:rsidRDefault="00906AB0"/>
  <w:p w14:paraId="0B944D8B" w14:textId="77777777" w:rsidR="00906AB0" w:rsidRDefault="00906AB0"/>
  <w:p w14:paraId="0B944D8C" w14:textId="77777777" w:rsidR="00906AB0" w:rsidRDefault="00906AB0"/>
  <w:p w14:paraId="0B944D8D" w14:textId="77777777" w:rsidR="00906AB0" w:rsidRDefault="00906AB0"/>
  <w:p w14:paraId="0B944D8E" w14:textId="77777777" w:rsidR="00906AB0" w:rsidRDefault="00906AB0"/>
  <w:p w14:paraId="0B944D8F" w14:textId="77777777" w:rsidR="00906AB0" w:rsidRDefault="00906AB0"/>
  <w:p w14:paraId="0B944D90" w14:textId="77777777" w:rsidR="00906AB0" w:rsidRDefault="00906AB0"/>
  <w:p w14:paraId="0B944D91" w14:textId="77777777" w:rsidR="00906AB0" w:rsidRDefault="00906AB0"/>
  <w:p w14:paraId="0B944D92" w14:textId="77777777" w:rsidR="00906AB0" w:rsidRDefault="00906AB0"/>
  <w:p w14:paraId="0B944D93" w14:textId="77777777" w:rsidR="00906AB0" w:rsidRDefault="00906AB0"/>
  <w:p w14:paraId="0B944D94" w14:textId="77777777" w:rsidR="00906AB0" w:rsidRDefault="00906AB0"/>
  <w:p w14:paraId="0B944D95" w14:textId="77777777" w:rsidR="00906AB0" w:rsidRDefault="00906A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44D96" w14:textId="210D735D" w:rsidR="00906AB0" w:rsidRPr="00557B8A" w:rsidRDefault="00557B8A" w:rsidP="00F15A94">
    <w:pPr>
      <w:spacing w:after="0"/>
      <w:jc w:val="right"/>
      <w:rPr>
        <w:lang w:val="cs-CZ"/>
      </w:rPr>
    </w:pPr>
    <w:r>
      <w:rPr>
        <w:lang w:val="cs-CZ"/>
      </w:rPr>
      <w:t>středa 25. září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44DA8" w14:textId="77777777" w:rsidR="00906AB0" w:rsidRDefault="00906AB0">
    <w:pPr>
      <w:spacing w:line="273"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1AA4"/>
    <w:multiLevelType w:val="multilevel"/>
    <w:tmpl w:val="8F52B1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5E52FB5"/>
    <w:multiLevelType w:val="multilevel"/>
    <w:tmpl w:val="F20E96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34212E"/>
    <w:multiLevelType w:val="hybridMultilevel"/>
    <w:tmpl w:val="416ADC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3FE4BD0"/>
    <w:multiLevelType w:val="multilevel"/>
    <w:tmpl w:val="60D080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35F3973"/>
    <w:multiLevelType w:val="multilevel"/>
    <w:tmpl w:val="75325B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7F40209"/>
    <w:multiLevelType w:val="hybridMultilevel"/>
    <w:tmpl w:val="8FFAD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AA83A9B"/>
    <w:multiLevelType w:val="multilevel"/>
    <w:tmpl w:val="4CE8CE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BAF23CB"/>
    <w:multiLevelType w:val="hybridMultilevel"/>
    <w:tmpl w:val="BD3E90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0112BA0"/>
    <w:multiLevelType w:val="multilevel"/>
    <w:tmpl w:val="4CE8CE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70E6370"/>
    <w:multiLevelType w:val="multilevel"/>
    <w:tmpl w:val="08E475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B113EA3"/>
    <w:multiLevelType w:val="multilevel"/>
    <w:tmpl w:val="87766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0163FB8"/>
    <w:multiLevelType w:val="multilevel"/>
    <w:tmpl w:val="4CE8CE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9"/>
  </w:num>
  <w:num w:numId="3">
    <w:abstractNumId w:val="10"/>
  </w:num>
  <w:num w:numId="4">
    <w:abstractNumId w:val="11"/>
  </w:num>
  <w:num w:numId="5">
    <w:abstractNumId w:val="0"/>
  </w:num>
  <w:num w:numId="6">
    <w:abstractNumId w:val="1"/>
  </w:num>
  <w:num w:numId="7">
    <w:abstractNumId w:val="7"/>
  </w:num>
  <w:num w:numId="8">
    <w:abstractNumId w:val="5"/>
  </w:num>
  <w:num w:numId="9">
    <w:abstractNumId w:val="2"/>
  </w:num>
  <w:num w:numId="10">
    <w:abstractNumId w:val="3"/>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AB0"/>
    <w:rsid w:val="00032B46"/>
    <w:rsid w:val="000A39F9"/>
    <w:rsid w:val="00125C5B"/>
    <w:rsid w:val="0014152B"/>
    <w:rsid w:val="00196F82"/>
    <w:rsid w:val="001A49DD"/>
    <w:rsid w:val="001D4707"/>
    <w:rsid w:val="001E3116"/>
    <w:rsid w:val="001F32F3"/>
    <w:rsid w:val="001F5B7C"/>
    <w:rsid w:val="00221E2B"/>
    <w:rsid w:val="00223C86"/>
    <w:rsid w:val="00233F1F"/>
    <w:rsid w:val="00251E92"/>
    <w:rsid w:val="00290224"/>
    <w:rsid w:val="002D00A7"/>
    <w:rsid w:val="002F2343"/>
    <w:rsid w:val="002F3647"/>
    <w:rsid w:val="00312CF8"/>
    <w:rsid w:val="003E5316"/>
    <w:rsid w:val="00426485"/>
    <w:rsid w:val="00502DFA"/>
    <w:rsid w:val="0050346C"/>
    <w:rsid w:val="00522BBC"/>
    <w:rsid w:val="00557B8A"/>
    <w:rsid w:val="0056233F"/>
    <w:rsid w:val="00574C8B"/>
    <w:rsid w:val="005915FD"/>
    <w:rsid w:val="005E0A0C"/>
    <w:rsid w:val="005F32BB"/>
    <w:rsid w:val="00633A0C"/>
    <w:rsid w:val="00647543"/>
    <w:rsid w:val="006504F9"/>
    <w:rsid w:val="00660CB5"/>
    <w:rsid w:val="00667974"/>
    <w:rsid w:val="00674D87"/>
    <w:rsid w:val="006C7CD3"/>
    <w:rsid w:val="007B709B"/>
    <w:rsid w:val="00820474"/>
    <w:rsid w:val="00830EA2"/>
    <w:rsid w:val="00906AB0"/>
    <w:rsid w:val="009157A8"/>
    <w:rsid w:val="009418C3"/>
    <w:rsid w:val="0096290A"/>
    <w:rsid w:val="0098186A"/>
    <w:rsid w:val="009E6BBD"/>
    <w:rsid w:val="00A411FB"/>
    <w:rsid w:val="00A81DEC"/>
    <w:rsid w:val="00AE2873"/>
    <w:rsid w:val="00B356E0"/>
    <w:rsid w:val="00BC4A7D"/>
    <w:rsid w:val="00BD1AAB"/>
    <w:rsid w:val="00BE71B6"/>
    <w:rsid w:val="00BF69FE"/>
    <w:rsid w:val="00C606BB"/>
    <w:rsid w:val="00C96F0A"/>
    <w:rsid w:val="00CA762D"/>
    <w:rsid w:val="00CD103A"/>
    <w:rsid w:val="00D333D3"/>
    <w:rsid w:val="00D44F39"/>
    <w:rsid w:val="00E056F0"/>
    <w:rsid w:val="00E06A41"/>
    <w:rsid w:val="00E1322B"/>
    <w:rsid w:val="00E4450A"/>
    <w:rsid w:val="00E4784F"/>
    <w:rsid w:val="00E51756"/>
    <w:rsid w:val="00EA0AF8"/>
    <w:rsid w:val="00EA1E80"/>
    <w:rsid w:val="00EE1BAD"/>
    <w:rsid w:val="00F15A94"/>
    <w:rsid w:val="00F81837"/>
    <w:rsid w:val="00F926EC"/>
    <w:rsid w:val="00F959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944D27"/>
  <w15:docId w15:val="{CA4A1DCE-E988-485F-823F-F5BDEA3D6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Roboto" w:hAnsi="Roboto" w:cs="Roboto"/>
        <w:sz w:val="22"/>
        <w:szCs w:val="22"/>
        <w:lang w:val="en-GB"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600" w:line="240" w:lineRule="auto"/>
      <w:outlineLvl w:val="0"/>
    </w:pPr>
    <w:rPr>
      <w:color w:val="003366"/>
      <w:sz w:val="36"/>
      <w:szCs w:val="36"/>
    </w:rPr>
  </w:style>
  <w:style w:type="paragraph" w:styleId="Heading2">
    <w:name w:val="heading 2"/>
    <w:basedOn w:val="Normal"/>
    <w:next w:val="Normal"/>
    <w:uiPriority w:val="9"/>
    <w:semiHidden/>
    <w:unhideWhenUsed/>
    <w:qFormat/>
    <w:pPr>
      <w:keepNext/>
      <w:keepLines/>
      <w:spacing w:before="500"/>
      <w:outlineLvl w:val="1"/>
    </w:pPr>
    <w:rPr>
      <w:color w:val="003366"/>
      <w:sz w:val="28"/>
      <w:szCs w:val="28"/>
    </w:rPr>
  </w:style>
  <w:style w:type="paragraph" w:styleId="Heading3">
    <w:name w:val="heading 3"/>
    <w:basedOn w:val="Normal"/>
    <w:next w:val="Normal"/>
    <w:uiPriority w:val="9"/>
    <w:semiHidden/>
    <w:unhideWhenUsed/>
    <w:qFormat/>
    <w:pPr>
      <w:keepNext/>
      <w:keepLines/>
      <w:spacing w:before="500"/>
      <w:outlineLvl w:val="2"/>
    </w:pPr>
    <w:rPr>
      <w:color w:val="003366"/>
      <w:sz w:val="24"/>
      <w:szCs w:val="24"/>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400" w:line="240" w:lineRule="auto"/>
    </w:pPr>
    <w:rPr>
      <w:color w:val="003366"/>
      <w:sz w:val="56"/>
      <w:szCs w:val="56"/>
    </w:rPr>
  </w:style>
  <w:style w:type="paragraph" w:styleId="Subtitle">
    <w:name w:val="Subtitle"/>
    <w:basedOn w:val="Normal"/>
    <w:next w:val="Normal"/>
    <w:uiPriority w:val="11"/>
    <w:qFormat/>
    <w:pPr>
      <w:keepNext/>
      <w:keepLines/>
    </w:pPr>
    <w:rPr>
      <w:color w:val="666666"/>
      <w:sz w:val="32"/>
      <w:szCs w:val="32"/>
    </w:rPr>
  </w:style>
  <w:style w:type="paragraph" w:styleId="ListParagraph">
    <w:name w:val="List Paragraph"/>
    <w:basedOn w:val="Normal"/>
    <w:uiPriority w:val="34"/>
    <w:qFormat/>
    <w:rsid w:val="00C96F0A"/>
    <w:pPr>
      <w:ind w:left="720"/>
      <w:contextualSpacing/>
    </w:pPr>
  </w:style>
  <w:style w:type="character" w:styleId="Hyperlink">
    <w:name w:val="Hyperlink"/>
    <w:basedOn w:val="DefaultParagraphFont"/>
    <w:uiPriority w:val="99"/>
    <w:unhideWhenUsed/>
    <w:rsid w:val="0056233F"/>
    <w:rPr>
      <w:color w:val="0000FF" w:themeColor="hyperlink"/>
      <w:u w:val="single"/>
    </w:rPr>
  </w:style>
  <w:style w:type="character" w:styleId="UnresolvedMention">
    <w:name w:val="Unresolved Mention"/>
    <w:basedOn w:val="DefaultParagraphFont"/>
    <w:uiPriority w:val="99"/>
    <w:semiHidden/>
    <w:unhideWhenUsed/>
    <w:rsid w:val="0056233F"/>
    <w:rPr>
      <w:color w:val="605E5C"/>
      <w:shd w:val="clear" w:color="auto" w:fill="E1DFDD"/>
    </w:rPr>
  </w:style>
  <w:style w:type="paragraph" w:styleId="Footer">
    <w:name w:val="footer"/>
    <w:basedOn w:val="Normal"/>
    <w:link w:val="FooterChar"/>
    <w:uiPriority w:val="99"/>
    <w:unhideWhenUsed/>
    <w:rsid w:val="00F15A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A94"/>
  </w:style>
  <w:style w:type="character" w:styleId="FollowedHyperlink">
    <w:name w:val="FollowedHyperlink"/>
    <w:basedOn w:val="DefaultParagraphFont"/>
    <w:uiPriority w:val="99"/>
    <w:semiHidden/>
    <w:unhideWhenUsed/>
    <w:rsid w:val="002F3647"/>
    <w:rPr>
      <w:color w:val="800080" w:themeColor="followedHyperlink"/>
      <w:u w:val="single"/>
    </w:rPr>
  </w:style>
  <w:style w:type="character" w:styleId="CommentReference">
    <w:name w:val="annotation reference"/>
    <w:basedOn w:val="DefaultParagraphFont"/>
    <w:uiPriority w:val="99"/>
    <w:semiHidden/>
    <w:unhideWhenUsed/>
    <w:rsid w:val="006504F9"/>
    <w:rPr>
      <w:sz w:val="16"/>
      <w:szCs w:val="16"/>
    </w:rPr>
  </w:style>
  <w:style w:type="paragraph" w:styleId="CommentText">
    <w:name w:val="annotation text"/>
    <w:basedOn w:val="Normal"/>
    <w:link w:val="CommentTextChar"/>
    <w:uiPriority w:val="99"/>
    <w:unhideWhenUsed/>
    <w:rsid w:val="006504F9"/>
    <w:pPr>
      <w:spacing w:line="240" w:lineRule="auto"/>
    </w:pPr>
    <w:rPr>
      <w:sz w:val="20"/>
      <w:szCs w:val="20"/>
    </w:rPr>
  </w:style>
  <w:style w:type="character" w:customStyle="1" w:styleId="CommentTextChar">
    <w:name w:val="Comment Text Char"/>
    <w:basedOn w:val="DefaultParagraphFont"/>
    <w:link w:val="CommentText"/>
    <w:uiPriority w:val="99"/>
    <w:rsid w:val="006504F9"/>
    <w:rPr>
      <w:sz w:val="20"/>
      <w:szCs w:val="20"/>
    </w:rPr>
  </w:style>
  <w:style w:type="paragraph" w:styleId="CommentSubject">
    <w:name w:val="annotation subject"/>
    <w:basedOn w:val="CommentText"/>
    <w:next w:val="CommentText"/>
    <w:link w:val="CommentSubjectChar"/>
    <w:uiPriority w:val="99"/>
    <w:semiHidden/>
    <w:unhideWhenUsed/>
    <w:rsid w:val="006504F9"/>
    <w:rPr>
      <w:b/>
      <w:bCs/>
    </w:rPr>
  </w:style>
  <w:style w:type="character" w:customStyle="1" w:styleId="CommentSubjectChar">
    <w:name w:val="Comment Subject Char"/>
    <w:basedOn w:val="CommentTextChar"/>
    <w:link w:val="CommentSubject"/>
    <w:uiPriority w:val="99"/>
    <w:semiHidden/>
    <w:rsid w:val="006504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it.ly/hbsc-vol6" TargetMode="External"/><Relationship Id="rId18" Type="http://schemas.openxmlformats.org/officeDocument/2006/relationships/hyperlink" Target="mailto:srourr@who.int"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pubmed.ncbi.nlm.nih.gov/37060555/" TargetMode="External"/><Relationship Id="rId17" Type="http://schemas.openxmlformats.org/officeDocument/2006/relationships/hyperlink" Target="mailto:joseph.hancock@hbsc.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blinka@fss.muni.c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ciencedirect.com/science/article/pii/S0747563221004672"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hbsc.org/publications/reports/" TargetMode="External"/><Relationship Id="rId23" Type="http://schemas.openxmlformats.org/officeDocument/2006/relationships/footer" Target="footer2.xml"/><Relationship Id="rId10" Type="http://schemas.openxmlformats.org/officeDocument/2006/relationships/hyperlink" Target="https://inpsy.fss.muni.cz/" TargetMode="External"/><Relationship Id="rId19" Type="http://schemas.openxmlformats.org/officeDocument/2006/relationships/hyperlink" Target="mailto:eupress@who.int" TargetMode="External"/><Relationship Id="rId4" Type="http://schemas.openxmlformats.org/officeDocument/2006/relationships/styles" Target="styles.xml"/><Relationship Id="rId9" Type="http://schemas.openxmlformats.org/officeDocument/2006/relationships/hyperlink" Target="https://www.muni.cz/lide/79130-lukas-blinka" TargetMode="External"/><Relationship Id="rId14" Type="http://schemas.openxmlformats.org/officeDocument/2006/relationships/hyperlink" Target="https://drive.google.com/drive/folders/1H2lQKqzvvGZ-FwyDmt8yTWxTjLzcZpH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AF05E2ECB91641B38CA5EF6A63732F" ma:contentTypeVersion="17" ma:contentTypeDescription="Vytvoří nový dokument" ma:contentTypeScope="" ma:versionID="b523633fb9a470408fbd58b39e0c9a51">
  <xsd:schema xmlns:xsd="http://www.w3.org/2001/XMLSchema" xmlns:xs="http://www.w3.org/2001/XMLSchema" xmlns:p="http://schemas.microsoft.com/office/2006/metadata/properties" xmlns:ns2="ebbd2735-9237-4571-a380-8ab77497a397" xmlns:ns3="dd1c10d0-3f4e-4b3b-89b7-891af7962e22" targetNamespace="http://schemas.microsoft.com/office/2006/metadata/properties" ma:root="true" ma:fieldsID="840e95e761857fa88772061d04484d84" ns2:_="" ns3:_="">
    <xsd:import namespace="ebbd2735-9237-4571-a380-8ab77497a397"/>
    <xsd:import namespace="dd1c10d0-3f4e-4b3b-89b7-891af7962e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d2735-9237-4571-a380-8ab77497a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1c10d0-3f4e-4b3b-89b7-891af7962e2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e43e8e3-6cd9-4a94-96a5-3a0cdb27c857}" ma:internalName="TaxCatchAll" ma:showField="CatchAllData" ma:web="dd1c10d0-3f4e-4b3b-89b7-891af7962e2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F9161C-FFF8-45B9-8E1A-FF21AEB56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d2735-9237-4571-a380-8ab77497a397"/>
    <ds:schemaRef ds:uri="dd1c10d0-3f4e-4b3b-89b7-891af7962e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784DA0-6DE8-46C3-B41A-C56BC59A1D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1957</Words>
  <Characters>11757</Characters>
  <Application>Microsoft Office Word</Application>
  <DocSecurity>0</DocSecurity>
  <Lines>202</Lines>
  <Paragraphs>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 Blinka</dc:creator>
  <cp:lastModifiedBy>Andrea Stašek</cp:lastModifiedBy>
  <cp:revision>4</cp:revision>
  <dcterms:created xsi:type="dcterms:W3CDTF">2024-09-25T09:39:00Z</dcterms:created>
  <dcterms:modified xsi:type="dcterms:W3CDTF">2024-09-26T07:15:00Z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17a34dec22c46ed106429c7a05edbd4dce5f8038e3db4bcba440af17bce011f1</vt:lpwstr>
  </property>
</Properties>
</file>